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86CE" w14:textId="4FEBD344" w:rsidR="0004402C" w:rsidRPr="00CD38E6" w:rsidRDefault="0004402C" w:rsidP="00CD38E6">
      <w:pPr>
        <w:pStyle w:val="Head1-Articles"/>
      </w:pPr>
      <w:r w:rsidRPr="00CD38E6">
        <w:t>Code as Content:</w:t>
      </w:r>
      <w:r w:rsidR="00D47E61" w:rsidRPr="00CD38E6">
        <w:t xml:space="preserve"> </w:t>
      </w:r>
      <w:r w:rsidRPr="00CD38E6">
        <w:t>Open Source Software and Platform Liability</w:t>
      </w:r>
    </w:p>
    <w:p w14:paraId="70156BFE" w14:textId="77777777" w:rsidR="0004402C" w:rsidRPr="0004402C" w:rsidRDefault="0004402C" w:rsidP="00B00C4E">
      <w:pPr>
        <w:pStyle w:val="AuthorName1-Articles"/>
        <w:outlineLvl w:val="0"/>
      </w:pPr>
      <w:r w:rsidRPr="0004402C">
        <w:t>Jessica Cheng</w:t>
      </w:r>
      <w:r w:rsidRPr="00FB2412">
        <w:rPr>
          <w:rStyle w:val="FootnoteReference"/>
        </w:rPr>
        <w:footnoteReference w:customMarkFollows="1" w:id="2"/>
        <w:t>*</w:t>
      </w:r>
    </w:p>
    <w:p w14:paraId="2A93A1B5" w14:textId="52C47C56" w:rsidR="0004402C" w:rsidRPr="00BA173C" w:rsidRDefault="0004402C" w:rsidP="00BA173C">
      <w:pPr>
        <w:pStyle w:val="Abstract"/>
      </w:pPr>
      <w:r w:rsidRPr="00CD38E6">
        <w:t xml:space="preserve">This paper details the current landscape of the technical, social, and governance systems that allow people to participate in the development of open source software (OSS), using GitHub as a case study. This paper also details the laws in the U.S. and the EU around platform liability for user-generated content. Here, “open source software” refers to software that is freely and publicly available for distribution, editing, and use. OSS platforms such as GitHub must contend with lawmakers’ legislative and regulatory content moderation efforts, yet currently, lawmakers </w:t>
      </w:r>
      <w:r w:rsidR="00721554">
        <w:t>do</w:t>
      </w:r>
      <w:r w:rsidRPr="00CD38E6">
        <w:t xml:space="preserve"> not adequately consider how their social-media-driven content moderation policies affect OSS, a critical digital infrastructure in our </w:t>
      </w:r>
      <w:r w:rsidR="007C3C19">
        <w:t>modern</w:t>
      </w:r>
      <w:r w:rsidRPr="00CD38E6">
        <w:t xml:space="preserve"> world. The typical content that users generate on OSS platforms is vastly different from that on social media platforms: dependent functional code vs. independent user expression. Lawmakers’ lack of distinction between different types of content means they take for granted a crucial initial question: who is best positioned to address harms resulting from user-generated content? Recent content moderation efforts suggest that lawmakers believe that this responsibility is content-agnostic and should fall on platforms, while recent cybersecurity efforts suggest otherwise. Ultimately, this paper calls for the exploration of how changes to content moderation law will impact OSS and urges lawmakers to more fully contemplate OSS in their endeavors.</w:t>
      </w:r>
    </w:p>
    <w:p w14:paraId="03D14E78" w14:textId="73F23DB9" w:rsidR="004D25AF" w:rsidRDefault="005C3178" w:rsidP="00C83FEB">
      <w:pPr>
        <w:pStyle w:val="TOC10"/>
        <w:rPr>
          <w:rFonts w:asciiTheme="minorHAnsi" w:eastAsiaTheme="minorEastAsia" w:hAnsiTheme="minorHAnsi" w:cstheme="minorBidi"/>
          <w:noProof/>
          <w:kern w:val="2"/>
          <w:sz w:val="24"/>
          <w:szCs w:val="24"/>
          <w14:ligatures w14:val="standardContextual"/>
        </w:rPr>
      </w:pPr>
      <w:r>
        <w:fldChar w:fldCharType="begin"/>
      </w:r>
      <w:r>
        <w:instrText xml:space="preserve"> TOC \o "1-5" \t "_SubHead1,1,_SubHead1-Autonumber,1,_SubHead2,2,_SubHead2-Autonumber,2,_SubHead3,3,_SubHead3-Autonumber,3,_SubHead4,4,_SubHead4-Autonumber,4,_SubHead5,5,_SubHead5-Autonumber,5" </w:instrText>
      </w:r>
      <w:r>
        <w:fldChar w:fldCharType="separate"/>
      </w:r>
      <w:r w:rsidR="004D25AF">
        <w:rPr>
          <w:noProof/>
        </w:rPr>
        <w:t>Introduction</w:t>
      </w:r>
      <w:r w:rsidR="004D25AF">
        <w:rPr>
          <w:noProof/>
        </w:rPr>
        <w:tab/>
      </w:r>
      <w:r w:rsidR="004D25AF">
        <w:rPr>
          <w:noProof/>
        </w:rPr>
        <w:fldChar w:fldCharType="begin"/>
      </w:r>
      <w:r w:rsidR="004D25AF">
        <w:rPr>
          <w:noProof/>
        </w:rPr>
        <w:instrText xml:space="preserve"> PAGEREF _Toc188103302 \h </w:instrText>
      </w:r>
      <w:r w:rsidR="004D25AF">
        <w:rPr>
          <w:noProof/>
        </w:rPr>
      </w:r>
      <w:r w:rsidR="004D25AF">
        <w:rPr>
          <w:noProof/>
        </w:rPr>
        <w:fldChar w:fldCharType="separate"/>
      </w:r>
      <w:r w:rsidR="005B2884">
        <w:rPr>
          <w:noProof/>
        </w:rPr>
        <w:t>225</w:t>
      </w:r>
      <w:r w:rsidR="004D25AF">
        <w:rPr>
          <w:noProof/>
        </w:rPr>
        <w:fldChar w:fldCharType="end"/>
      </w:r>
    </w:p>
    <w:p w14:paraId="0FBC12A3" w14:textId="677BE92F" w:rsidR="004D25AF" w:rsidRDefault="004D25AF" w:rsidP="00C83FEB">
      <w:pPr>
        <w:pStyle w:val="TOC10"/>
        <w:rPr>
          <w:rFonts w:asciiTheme="minorHAnsi" w:eastAsiaTheme="minorEastAsia" w:hAnsiTheme="minorHAnsi" w:cstheme="minorBidi"/>
          <w:noProof/>
          <w:kern w:val="2"/>
          <w:sz w:val="24"/>
          <w:szCs w:val="24"/>
          <w14:ligatures w14:val="standardContextual"/>
        </w:rPr>
      </w:pPr>
      <w:r>
        <w:rPr>
          <w:noProof/>
        </w:rPr>
        <w:t>I.</w:t>
      </w:r>
      <w:r>
        <w:rPr>
          <w:rFonts w:asciiTheme="minorHAnsi" w:eastAsiaTheme="minorEastAsia" w:hAnsiTheme="minorHAnsi" w:cstheme="minorBidi"/>
          <w:noProof/>
          <w:kern w:val="2"/>
          <w:sz w:val="24"/>
          <w:szCs w:val="24"/>
          <w14:ligatures w14:val="standardContextual"/>
        </w:rPr>
        <w:tab/>
      </w:r>
      <w:r w:rsidR="00C83FEB">
        <w:rPr>
          <w:rFonts w:asciiTheme="minorHAnsi" w:eastAsiaTheme="minorEastAsia" w:hAnsiTheme="minorHAnsi" w:cstheme="minorBidi"/>
          <w:noProof/>
          <w:kern w:val="2"/>
          <w:sz w:val="24"/>
          <w:szCs w:val="24"/>
          <w14:ligatures w14:val="standardContextual"/>
        </w:rPr>
        <w:t xml:space="preserve"> </w:t>
      </w:r>
      <w:r>
        <w:rPr>
          <w:noProof/>
        </w:rPr>
        <w:t>Technical Background: Open Source and Version Control Systems</w:t>
      </w:r>
      <w:r>
        <w:rPr>
          <w:noProof/>
        </w:rPr>
        <w:tab/>
      </w:r>
      <w:r>
        <w:rPr>
          <w:noProof/>
        </w:rPr>
        <w:fldChar w:fldCharType="begin"/>
      </w:r>
      <w:r>
        <w:rPr>
          <w:noProof/>
        </w:rPr>
        <w:instrText xml:space="preserve"> PAGEREF _Toc188103303 \h </w:instrText>
      </w:r>
      <w:r>
        <w:rPr>
          <w:noProof/>
        </w:rPr>
      </w:r>
      <w:r>
        <w:rPr>
          <w:noProof/>
        </w:rPr>
        <w:fldChar w:fldCharType="separate"/>
      </w:r>
      <w:r w:rsidR="005B2884">
        <w:rPr>
          <w:noProof/>
        </w:rPr>
        <w:t>227</w:t>
      </w:r>
      <w:r>
        <w:rPr>
          <w:noProof/>
        </w:rPr>
        <w:fldChar w:fldCharType="end"/>
      </w:r>
    </w:p>
    <w:p w14:paraId="3D239DCE" w14:textId="78F7F783" w:rsidR="004D25AF" w:rsidRDefault="004D25AF">
      <w:pPr>
        <w:pStyle w:val="TOC20"/>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Open Source (Software)</w:t>
      </w:r>
      <w:r>
        <w:tab/>
      </w:r>
      <w:r>
        <w:fldChar w:fldCharType="begin"/>
      </w:r>
      <w:r>
        <w:instrText xml:space="preserve"> PAGEREF _Toc188103304 \h </w:instrText>
      </w:r>
      <w:r>
        <w:fldChar w:fldCharType="separate"/>
      </w:r>
      <w:r w:rsidR="005B2884">
        <w:t>227</w:t>
      </w:r>
      <w:r>
        <w:fldChar w:fldCharType="end"/>
      </w:r>
    </w:p>
    <w:p w14:paraId="1A69B038" w14:textId="2070E6AB" w:rsidR="004D25AF" w:rsidRDefault="004D25AF">
      <w:pPr>
        <w:pStyle w:val="TOC20"/>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Version Control Systems: Centralized vs. Distributed</w:t>
      </w:r>
      <w:r>
        <w:tab/>
      </w:r>
      <w:r>
        <w:fldChar w:fldCharType="begin"/>
      </w:r>
      <w:r>
        <w:instrText xml:space="preserve"> PAGEREF _Toc188103305 \h </w:instrText>
      </w:r>
      <w:r>
        <w:fldChar w:fldCharType="separate"/>
      </w:r>
      <w:r w:rsidR="005B2884">
        <w:t>228</w:t>
      </w:r>
      <w:r>
        <w:fldChar w:fldCharType="end"/>
      </w:r>
    </w:p>
    <w:p w14:paraId="639A19A7" w14:textId="17D3F9BA" w:rsidR="004D25AF" w:rsidRDefault="004D25AF" w:rsidP="00C83FEB">
      <w:pPr>
        <w:pStyle w:val="TOC10"/>
        <w:rPr>
          <w:rFonts w:asciiTheme="minorHAnsi" w:eastAsiaTheme="minorEastAsia" w:hAnsiTheme="minorHAnsi" w:cstheme="minorBidi"/>
          <w:noProof/>
          <w:kern w:val="2"/>
          <w:sz w:val="24"/>
          <w:szCs w:val="24"/>
          <w14:ligatures w14:val="standardContextual"/>
        </w:rPr>
      </w:pPr>
      <w:r>
        <w:rPr>
          <w:noProof/>
        </w:rPr>
        <w:lastRenderedPageBreak/>
        <w:t>II.</w:t>
      </w:r>
      <w:r>
        <w:rPr>
          <w:rFonts w:asciiTheme="minorHAnsi" w:eastAsiaTheme="minorEastAsia" w:hAnsiTheme="minorHAnsi" w:cstheme="minorBidi"/>
          <w:noProof/>
          <w:kern w:val="2"/>
          <w:sz w:val="24"/>
          <w:szCs w:val="24"/>
          <w14:ligatures w14:val="standardContextual"/>
        </w:rPr>
        <w:tab/>
      </w:r>
      <w:r>
        <w:rPr>
          <w:noProof/>
        </w:rPr>
        <w:t>Social Dynamics of Open Source Software</w:t>
      </w:r>
      <w:r>
        <w:rPr>
          <w:noProof/>
        </w:rPr>
        <w:tab/>
      </w:r>
      <w:r>
        <w:rPr>
          <w:noProof/>
        </w:rPr>
        <w:fldChar w:fldCharType="begin"/>
      </w:r>
      <w:r>
        <w:rPr>
          <w:noProof/>
        </w:rPr>
        <w:instrText xml:space="preserve"> PAGEREF _Toc188103306 \h </w:instrText>
      </w:r>
      <w:r>
        <w:rPr>
          <w:noProof/>
        </w:rPr>
      </w:r>
      <w:r>
        <w:rPr>
          <w:noProof/>
        </w:rPr>
        <w:fldChar w:fldCharType="separate"/>
      </w:r>
      <w:r w:rsidR="005B2884">
        <w:rPr>
          <w:noProof/>
        </w:rPr>
        <w:t>230</w:t>
      </w:r>
      <w:r>
        <w:rPr>
          <w:noProof/>
        </w:rPr>
        <w:fldChar w:fldCharType="end"/>
      </w:r>
    </w:p>
    <w:p w14:paraId="29D6F62F" w14:textId="7BA4D1B9" w:rsidR="004D25AF" w:rsidRDefault="004D25AF">
      <w:pPr>
        <w:pStyle w:val="TOC20"/>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Version Control System Hosting Platforms: GitHub as a Paradigm</w:t>
      </w:r>
      <w:r>
        <w:tab/>
      </w:r>
      <w:r>
        <w:fldChar w:fldCharType="begin"/>
      </w:r>
      <w:r>
        <w:instrText xml:space="preserve"> PAGEREF _Toc188103307 \h </w:instrText>
      </w:r>
      <w:r>
        <w:fldChar w:fldCharType="separate"/>
      </w:r>
      <w:r w:rsidR="005B2884">
        <w:t>231</w:t>
      </w:r>
      <w:r>
        <w:fldChar w:fldCharType="end"/>
      </w:r>
    </w:p>
    <w:p w14:paraId="36AF2CBC" w14:textId="36C7F3D2" w:rsidR="004D25AF" w:rsidRDefault="004D25AF">
      <w:pPr>
        <w:pStyle w:val="TOC20"/>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Open Source Developer Demographics</w:t>
      </w:r>
      <w:r>
        <w:tab/>
      </w:r>
      <w:r>
        <w:fldChar w:fldCharType="begin"/>
      </w:r>
      <w:r>
        <w:instrText xml:space="preserve"> PAGEREF _Toc188103308 \h </w:instrText>
      </w:r>
      <w:r>
        <w:fldChar w:fldCharType="separate"/>
      </w:r>
      <w:r w:rsidR="005B2884">
        <w:t>234</w:t>
      </w:r>
      <w:r>
        <w:fldChar w:fldCharType="end"/>
      </w:r>
    </w:p>
    <w:p w14:paraId="795402F5" w14:textId="7A5AF413" w:rsidR="004D25AF" w:rsidRDefault="004D25AF">
      <w:pPr>
        <w:pStyle w:val="TOC20"/>
        <w:rPr>
          <w:rFonts w:asciiTheme="minorHAnsi" w:eastAsiaTheme="minorEastAsia" w:hAnsiTheme="minorHAnsi" w:cstheme="minorBidi"/>
          <w:i w:val="0"/>
          <w:kern w:val="2"/>
          <w:sz w:val="24"/>
          <w:szCs w:val="24"/>
          <w14:ligatures w14:val="standardContextual"/>
        </w:rPr>
      </w:pPr>
      <w:r>
        <w:t>C.</w:t>
      </w:r>
      <w:r>
        <w:rPr>
          <w:rFonts w:asciiTheme="minorHAnsi" w:eastAsiaTheme="minorEastAsia" w:hAnsiTheme="minorHAnsi" w:cstheme="minorBidi"/>
          <w:i w:val="0"/>
          <w:kern w:val="2"/>
          <w:sz w:val="24"/>
          <w:szCs w:val="24"/>
          <w14:ligatures w14:val="standardContextual"/>
        </w:rPr>
        <w:tab/>
      </w:r>
      <w:r>
        <w:t>Social Norms of Open Source</w:t>
      </w:r>
      <w:r>
        <w:tab/>
      </w:r>
      <w:r>
        <w:fldChar w:fldCharType="begin"/>
      </w:r>
      <w:r>
        <w:instrText xml:space="preserve"> PAGEREF _Toc188103309 \h </w:instrText>
      </w:r>
      <w:r>
        <w:fldChar w:fldCharType="separate"/>
      </w:r>
      <w:r w:rsidR="005B2884">
        <w:t>236</w:t>
      </w:r>
      <w:r>
        <w:fldChar w:fldCharType="end"/>
      </w:r>
    </w:p>
    <w:p w14:paraId="270268F7" w14:textId="0C379656" w:rsidR="004D25AF" w:rsidRDefault="004D25AF" w:rsidP="00C83FEB">
      <w:pPr>
        <w:pStyle w:val="TOC10"/>
        <w:rPr>
          <w:rFonts w:asciiTheme="minorHAnsi" w:eastAsiaTheme="minorEastAsia" w:hAnsiTheme="minorHAnsi" w:cstheme="minorBidi"/>
          <w:noProof/>
          <w:kern w:val="2"/>
          <w:sz w:val="24"/>
          <w:szCs w:val="24"/>
          <w14:ligatures w14:val="standardContextual"/>
        </w:rPr>
      </w:pPr>
      <w:r>
        <w:rPr>
          <w:noProof/>
        </w:rPr>
        <w:t>III.</w:t>
      </w:r>
      <w:r>
        <w:rPr>
          <w:rFonts w:asciiTheme="minorHAnsi" w:eastAsiaTheme="minorEastAsia" w:hAnsiTheme="minorHAnsi" w:cstheme="minorBidi"/>
          <w:noProof/>
          <w:kern w:val="2"/>
          <w:sz w:val="24"/>
          <w:szCs w:val="24"/>
          <w14:ligatures w14:val="standardContextual"/>
        </w:rPr>
        <w:tab/>
      </w:r>
      <w:r>
        <w:rPr>
          <w:noProof/>
        </w:rPr>
        <w:t>Organization of Version Control System Hosting Platforms</w:t>
      </w:r>
      <w:r>
        <w:rPr>
          <w:noProof/>
        </w:rPr>
        <w:tab/>
      </w:r>
      <w:r>
        <w:rPr>
          <w:noProof/>
        </w:rPr>
        <w:fldChar w:fldCharType="begin"/>
      </w:r>
      <w:r>
        <w:rPr>
          <w:noProof/>
        </w:rPr>
        <w:instrText xml:space="preserve"> PAGEREF _Toc188103310 \h </w:instrText>
      </w:r>
      <w:r>
        <w:rPr>
          <w:noProof/>
        </w:rPr>
      </w:r>
      <w:r>
        <w:rPr>
          <w:noProof/>
        </w:rPr>
        <w:fldChar w:fldCharType="separate"/>
      </w:r>
      <w:r w:rsidR="005B2884">
        <w:rPr>
          <w:noProof/>
        </w:rPr>
        <w:t>237</w:t>
      </w:r>
      <w:r>
        <w:rPr>
          <w:noProof/>
        </w:rPr>
        <w:fldChar w:fldCharType="end"/>
      </w:r>
    </w:p>
    <w:p w14:paraId="22819E3B" w14:textId="4CAFF648" w:rsidR="004D25AF" w:rsidRDefault="004D25AF">
      <w:pPr>
        <w:pStyle w:val="TOC20"/>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Types of GitHub Repositories</w:t>
      </w:r>
      <w:r>
        <w:tab/>
      </w:r>
      <w:r>
        <w:fldChar w:fldCharType="begin"/>
      </w:r>
      <w:r>
        <w:instrText xml:space="preserve"> PAGEREF _Toc188103311 \h </w:instrText>
      </w:r>
      <w:r>
        <w:fldChar w:fldCharType="separate"/>
      </w:r>
      <w:r w:rsidR="005B2884">
        <w:t>237</w:t>
      </w:r>
      <w:r>
        <w:fldChar w:fldCharType="end"/>
      </w:r>
    </w:p>
    <w:p w14:paraId="619FF062" w14:textId="1CD88FC9" w:rsidR="004D25AF" w:rsidRDefault="004D25AF">
      <w:pPr>
        <w:pStyle w:val="TOC20"/>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Industry Governance of Open Source</w:t>
      </w:r>
      <w:r>
        <w:tab/>
      </w:r>
      <w:r>
        <w:fldChar w:fldCharType="begin"/>
      </w:r>
      <w:r>
        <w:instrText xml:space="preserve"> PAGEREF _Toc188103312 \h </w:instrText>
      </w:r>
      <w:r>
        <w:fldChar w:fldCharType="separate"/>
      </w:r>
      <w:r w:rsidR="005B2884">
        <w:t>238</w:t>
      </w:r>
      <w:r>
        <w:fldChar w:fldCharType="end"/>
      </w:r>
    </w:p>
    <w:p w14:paraId="4FD5CD39" w14:textId="116C1D29" w:rsidR="004D25AF" w:rsidRDefault="004D25AF" w:rsidP="00C83FEB">
      <w:pPr>
        <w:pStyle w:val="TOC10"/>
        <w:rPr>
          <w:rFonts w:asciiTheme="minorHAnsi" w:eastAsiaTheme="minorEastAsia" w:hAnsiTheme="minorHAnsi" w:cstheme="minorBidi"/>
          <w:noProof/>
          <w:kern w:val="2"/>
          <w:sz w:val="24"/>
          <w:szCs w:val="24"/>
          <w14:ligatures w14:val="standardContextual"/>
        </w:rPr>
      </w:pPr>
      <w:r>
        <w:rPr>
          <w:noProof/>
        </w:rPr>
        <w:t>IV.</w:t>
      </w:r>
      <w:r>
        <w:rPr>
          <w:rFonts w:asciiTheme="minorHAnsi" w:eastAsiaTheme="minorEastAsia" w:hAnsiTheme="minorHAnsi" w:cstheme="minorBidi"/>
          <w:noProof/>
          <w:kern w:val="2"/>
          <w:sz w:val="24"/>
          <w:szCs w:val="24"/>
          <w14:ligatures w14:val="standardContextual"/>
        </w:rPr>
        <w:tab/>
      </w:r>
      <w:r>
        <w:rPr>
          <w:noProof/>
        </w:rPr>
        <w:t>A Tale of Two Contents: Code vs. Communication</w:t>
      </w:r>
      <w:r>
        <w:rPr>
          <w:noProof/>
        </w:rPr>
        <w:tab/>
      </w:r>
      <w:r>
        <w:rPr>
          <w:noProof/>
        </w:rPr>
        <w:fldChar w:fldCharType="begin"/>
      </w:r>
      <w:r>
        <w:rPr>
          <w:noProof/>
        </w:rPr>
        <w:instrText xml:space="preserve"> PAGEREF _Toc188103313 \h </w:instrText>
      </w:r>
      <w:r>
        <w:rPr>
          <w:noProof/>
        </w:rPr>
      </w:r>
      <w:r>
        <w:rPr>
          <w:noProof/>
        </w:rPr>
        <w:fldChar w:fldCharType="separate"/>
      </w:r>
      <w:r w:rsidR="005B2884">
        <w:rPr>
          <w:noProof/>
        </w:rPr>
        <w:t>240</w:t>
      </w:r>
      <w:r>
        <w:rPr>
          <w:noProof/>
        </w:rPr>
        <w:fldChar w:fldCharType="end"/>
      </w:r>
    </w:p>
    <w:p w14:paraId="582ED394" w14:textId="5FB3E6A8" w:rsidR="004D25AF" w:rsidRDefault="004D25AF">
      <w:pPr>
        <w:pStyle w:val="TOC20"/>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Functional &amp; Structural Differences</w:t>
      </w:r>
      <w:r>
        <w:tab/>
      </w:r>
      <w:r>
        <w:fldChar w:fldCharType="begin"/>
      </w:r>
      <w:r>
        <w:instrText xml:space="preserve"> PAGEREF _Toc188103314 \h </w:instrText>
      </w:r>
      <w:r>
        <w:fldChar w:fldCharType="separate"/>
      </w:r>
      <w:r w:rsidR="005B2884">
        <w:t>241</w:t>
      </w:r>
      <w:r>
        <w:fldChar w:fldCharType="end"/>
      </w:r>
    </w:p>
    <w:p w14:paraId="1777C6BC" w14:textId="2D43316D" w:rsidR="004D25AF" w:rsidRDefault="004D25AF">
      <w:pPr>
        <w:pStyle w:val="TOC20"/>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Different Core Concerns when Moderating Content</w:t>
      </w:r>
      <w:r>
        <w:tab/>
      </w:r>
      <w:r>
        <w:fldChar w:fldCharType="begin"/>
      </w:r>
      <w:r>
        <w:instrText xml:space="preserve"> PAGEREF _Toc188103315 \h </w:instrText>
      </w:r>
      <w:r>
        <w:fldChar w:fldCharType="separate"/>
      </w:r>
      <w:r w:rsidR="005B2884">
        <w:t>242</w:t>
      </w:r>
      <w:r>
        <w:fldChar w:fldCharType="end"/>
      </w:r>
    </w:p>
    <w:p w14:paraId="690FD856" w14:textId="79AC53E1" w:rsidR="004D25AF" w:rsidRDefault="004D25AF">
      <w:pPr>
        <w:pStyle w:val="TOC20"/>
        <w:rPr>
          <w:rFonts w:asciiTheme="minorHAnsi" w:eastAsiaTheme="minorEastAsia" w:hAnsiTheme="minorHAnsi" w:cstheme="minorBidi"/>
          <w:i w:val="0"/>
          <w:kern w:val="2"/>
          <w:sz w:val="24"/>
          <w:szCs w:val="24"/>
          <w14:ligatures w14:val="standardContextual"/>
        </w:rPr>
      </w:pPr>
      <w:r>
        <w:t>C.</w:t>
      </w:r>
      <w:r>
        <w:rPr>
          <w:rFonts w:asciiTheme="minorHAnsi" w:eastAsiaTheme="minorEastAsia" w:hAnsiTheme="minorHAnsi" w:cstheme="minorBidi"/>
          <w:i w:val="0"/>
          <w:kern w:val="2"/>
          <w:sz w:val="24"/>
          <w:szCs w:val="24"/>
          <w14:ligatures w14:val="standardContextual"/>
        </w:rPr>
        <w:tab/>
      </w:r>
      <w:r>
        <w:t>Distinguishing Platforms from Machine Learning Models</w:t>
      </w:r>
      <w:r>
        <w:tab/>
      </w:r>
      <w:r>
        <w:fldChar w:fldCharType="begin"/>
      </w:r>
      <w:r>
        <w:instrText xml:space="preserve"> PAGEREF _Toc188103316 \h </w:instrText>
      </w:r>
      <w:r>
        <w:fldChar w:fldCharType="separate"/>
      </w:r>
      <w:r w:rsidR="005B2884">
        <w:t>244</w:t>
      </w:r>
      <w:r>
        <w:fldChar w:fldCharType="end"/>
      </w:r>
    </w:p>
    <w:p w14:paraId="1FEB445E" w14:textId="17C2627E" w:rsidR="004D25AF" w:rsidRDefault="004D25AF" w:rsidP="00C83FEB">
      <w:pPr>
        <w:pStyle w:val="TOC10"/>
        <w:rPr>
          <w:rFonts w:asciiTheme="minorHAnsi" w:eastAsiaTheme="minorEastAsia" w:hAnsiTheme="minorHAnsi" w:cstheme="minorBidi"/>
          <w:noProof/>
          <w:kern w:val="2"/>
          <w:sz w:val="24"/>
          <w:szCs w:val="24"/>
          <w14:ligatures w14:val="standardContextual"/>
        </w:rPr>
      </w:pPr>
      <w:r>
        <w:rPr>
          <w:noProof/>
        </w:rPr>
        <w:t>V.</w:t>
      </w:r>
      <w:r>
        <w:rPr>
          <w:rFonts w:asciiTheme="minorHAnsi" w:eastAsiaTheme="minorEastAsia" w:hAnsiTheme="minorHAnsi" w:cstheme="minorBidi"/>
          <w:noProof/>
          <w:kern w:val="2"/>
          <w:sz w:val="24"/>
          <w:szCs w:val="24"/>
          <w14:ligatures w14:val="standardContextual"/>
        </w:rPr>
        <w:tab/>
      </w:r>
      <w:r>
        <w:rPr>
          <w:noProof/>
        </w:rPr>
        <w:t>Legal Landscape of Content Moderation: § 230 and the DSA</w:t>
      </w:r>
      <w:r>
        <w:rPr>
          <w:noProof/>
        </w:rPr>
        <w:tab/>
      </w:r>
      <w:r>
        <w:rPr>
          <w:noProof/>
        </w:rPr>
        <w:fldChar w:fldCharType="begin"/>
      </w:r>
      <w:r>
        <w:rPr>
          <w:noProof/>
        </w:rPr>
        <w:instrText xml:space="preserve"> PAGEREF _Toc188103317 \h </w:instrText>
      </w:r>
      <w:r>
        <w:rPr>
          <w:noProof/>
        </w:rPr>
      </w:r>
      <w:r>
        <w:rPr>
          <w:noProof/>
        </w:rPr>
        <w:fldChar w:fldCharType="separate"/>
      </w:r>
      <w:r w:rsidR="005B2884">
        <w:rPr>
          <w:noProof/>
        </w:rPr>
        <w:t>246</w:t>
      </w:r>
      <w:r>
        <w:rPr>
          <w:noProof/>
        </w:rPr>
        <w:fldChar w:fldCharType="end"/>
      </w:r>
    </w:p>
    <w:p w14:paraId="1FAA9DEC" w14:textId="6E615383" w:rsidR="004D25AF" w:rsidRDefault="004D25AF">
      <w:pPr>
        <w:pStyle w:val="TOC20"/>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Unconditional Liability Shields: § 230</w:t>
      </w:r>
      <w:r>
        <w:tab/>
      </w:r>
      <w:r>
        <w:fldChar w:fldCharType="begin"/>
      </w:r>
      <w:r>
        <w:instrText xml:space="preserve"> PAGEREF _Toc188103318 \h </w:instrText>
      </w:r>
      <w:r>
        <w:fldChar w:fldCharType="separate"/>
      </w:r>
      <w:r w:rsidR="005B2884">
        <w:t>247</w:t>
      </w:r>
      <w:r>
        <w:fldChar w:fldCharType="end"/>
      </w:r>
    </w:p>
    <w:p w14:paraId="6F791D0E" w14:textId="3FA5852E" w:rsidR="004D25AF" w:rsidRDefault="004D25AF">
      <w:pPr>
        <w:pStyle w:val="TOC20"/>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Notice &amp; Takedown with Reporting Obligations: The EU’s Electronic Commerce Directive &amp; Digital Services Ac</w:t>
      </w:r>
      <w:r w:rsidR="00147C85">
        <w:t>t…………………………………………………………</w:t>
      </w:r>
      <w:r>
        <w:fldChar w:fldCharType="begin"/>
      </w:r>
      <w:r>
        <w:instrText xml:space="preserve"> PAGEREF _Toc188103319 \h </w:instrText>
      </w:r>
      <w:r>
        <w:fldChar w:fldCharType="separate"/>
      </w:r>
      <w:r w:rsidR="005B2884">
        <w:t>250</w:t>
      </w:r>
      <w:r>
        <w:fldChar w:fldCharType="end"/>
      </w:r>
    </w:p>
    <w:p w14:paraId="145C9661" w14:textId="46D383F4" w:rsidR="004D25AF" w:rsidRDefault="004D25AF">
      <w:pPr>
        <w:pStyle w:val="TOC20"/>
        <w:rPr>
          <w:rFonts w:asciiTheme="minorHAnsi" w:eastAsiaTheme="minorEastAsia" w:hAnsiTheme="minorHAnsi" w:cstheme="minorBidi"/>
          <w:i w:val="0"/>
          <w:kern w:val="2"/>
          <w:sz w:val="24"/>
          <w:szCs w:val="24"/>
          <w14:ligatures w14:val="standardContextual"/>
        </w:rPr>
      </w:pPr>
      <w:r>
        <w:t>C.</w:t>
      </w:r>
      <w:r>
        <w:rPr>
          <w:rFonts w:asciiTheme="minorHAnsi" w:eastAsiaTheme="minorEastAsia" w:hAnsiTheme="minorHAnsi" w:cstheme="minorBidi"/>
          <w:i w:val="0"/>
          <w:kern w:val="2"/>
          <w:sz w:val="24"/>
          <w:szCs w:val="24"/>
          <w14:ligatures w14:val="standardContextual"/>
        </w:rPr>
        <w:tab/>
      </w:r>
      <w:r>
        <w:t>Self-Regulation by Platforms: GitHub Case Study</w:t>
      </w:r>
      <w:r>
        <w:tab/>
      </w:r>
      <w:r>
        <w:fldChar w:fldCharType="begin"/>
      </w:r>
      <w:r>
        <w:instrText xml:space="preserve"> PAGEREF _Toc188103320 \h </w:instrText>
      </w:r>
      <w:r>
        <w:fldChar w:fldCharType="separate"/>
      </w:r>
      <w:r w:rsidR="005B2884">
        <w:t>253</w:t>
      </w:r>
      <w:r>
        <w:fldChar w:fldCharType="end"/>
      </w:r>
    </w:p>
    <w:p w14:paraId="3F01B71E" w14:textId="54C26465" w:rsidR="004D25AF" w:rsidRDefault="004D25AF" w:rsidP="00C83FEB">
      <w:pPr>
        <w:pStyle w:val="TOC10"/>
        <w:rPr>
          <w:rFonts w:asciiTheme="minorHAnsi" w:eastAsiaTheme="minorEastAsia" w:hAnsiTheme="minorHAnsi" w:cstheme="minorBidi"/>
          <w:noProof/>
          <w:kern w:val="2"/>
          <w:sz w:val="24"/>
          <w:szCs w:val="24"/>
          <w14:ligatures w14:val="standardContextual"/>
        </w:rPr>
      </w:pPr>
      <w:r>
        <w:rPr>
          <w:noProof/>
        </w:rPr>
        <w:t>VI.</w:t>
      </w:r>
      <w:r>
        <w:rPr>
          <w:rFonts w:asciiTheme="minorHAnsi" w:eastAsiaTheme="minorEastAsia" w:hAnsiTheme="minorHAnsi" w:cstheme="minorBidi"/>
          <w:noProof/>
          <w:kern w:val="2"/>
          <w:sz w:val="24"/>
          <w:szCs w:val="24"/>
          <w14:ligatures w14:val="standardContextual"/>
        </w:rPr>
        <w:tab/>
      </w:r>
      <w:r>
        <w:rPr>
          <w:noProof/>
        </w:rPr>
        <w:t>Analyzing Platform Liability for OSS: § 230 and the DSA</w:t>
      </w:r>
      <w:r>
        <w:rPr>
          <w:noProof/>
        </w:rPr>
        <w:tab/>
      </w:r>
      <w:r>
        <w:rPr>
          <w:noProof/>
        </w:rPr>
        <w:fldChar w:fldCharType="begin"/>
      </w:r>
      <w:r>
        <w:rPr>
          <w:noProof/>
        </w:rPr>
        <w:instrText xml:space="preserve"> PAGEREF _Toc188103321 \h </w:instrText>
      </w:r>
      <w:r>
        <w:rPr>
          <w:noProof/>
        </w:rPr>
      </w:r>
      <w:r>
        <w:rPr>
          <w:noProof/>
        </w:rPr>
        <w:fldChar w:fldCharType="separate"/>
      </w:r>
      <w:r w:rsidR="005B2884">
        <w:rPr>
          <w:noProof/>
        </w:rPr>
        <w:t>256</w:t>
      </w:r>
      <w:r>
        <w:rPr>
          <w:noProof/>
        </w:rPr>
        <w:fldChar w:fldCharType="end"/>
      </w:r>
    </w:p>
    <w:p w14:paraId="3FDAD65C" w14:textId="49A0D223" w:rsidR="004D25AF" w:rsidRDefault="004D25AF">
      <w:pPr>
        <w:pStyle w:val="TOC20"/>
        <w:rPr>
          <w:rFonts w:asciiTheme="minorHAnsi" w:eastAsiaTheme="minorEastAsia" w:hAnsiTheme="minorHAnsi" w:cstheme="minorBidi"/>
          <w:i w:val="0"/>
          <w:kern w:val="2"/>
          <w:sz w:val="24"/>
          <w:szCs w:val="24"/>
          <w14:ligatures w14:val="standardContextual"/>
        </w:rPr>
      </w:pPr>
      <w:r>
        <w:t>A.</w:t>
      </w:r>
      <w:r>
        <w:rPr>
          <w:rFonts w:asciiTheme="minorHAnsi" w:eastAsiaTheme="minorEastAsia" w:hAnsiTheme="minorHAnsi" w:cstheme="minorBidi"/>
          <w:i w:val="0"/>
          <w:kern w:val="2"/>
          <w:sz w:val="24"/>
          <w:szCs w:val="24"/>
          <w14:ligatures w14:val="standardContextual"/>
        </w:rPr>
        <w:tab/>
      </w:r>
      <w:r>
        <w:t>Potential Effects of Imposing Increased Obligations or Liability on Platforms</w:t>
      </w:r>
      <w:r>
        <w:tab/>
      </w:r>
      <w:r>
        <w:fldChar w:fldCharType="begin"/>
      </w:r>
      <w:r>
        <w:instrText xml:space="preserve"> PAGEREF _Toc188103322 \h </w:instrText>
      </w:r>
      <w:r>
        <w:fldChar w:fldCharType="separate"/>
      </w:r>
      <w:r w:rsidR="005B2884">
        <w:t>256</w:t>
      </w:r>
      <w:r>
        <w:fldChar w:fldCharType="end"/>
      </w:r>
    </w:p>
    <w:p w14:paraId="495E66CE" w14:textId="581818D1" w:rsidR="004D25AF" w:rsidRDefault="004D25AF">
      <w:pPr>
        <w:pStyle w:val="TOC20"/>
        <w:rPr>
          <w:rFonts w:asciiTheme="minorHAnsi" w:eastAsiaTheme="minorEastAsia" w:hAnsiTheme="minorHAnsi" w:cstheme="minorBidi"/>
          <w:i w:val="0"/>
          <w:kern w:val="2"/>
          <w:sz w:val="24"/>
          <w:szCs w:val="24"/>
          <w14:ligatures w14:val="standardContextual"/>
        </w:rPr>
      </w:pPr>
      <w:r>
        <w:t>B.</w:t>
      </w:r>
      <w:r>
        <w:rPr>
          <w:rFonts w:asciiTheme="minorHAnsi" w:eastAsiaTheme="minorEastAsia" w:hAnsiTheme="minorHAnsi" w:cstheme="minorBidi"/>
          <w:i w:val="0"/>
          <w:kern w:val="2"/>
          <w:sz w:val="24"/>
          <w:szCs w:val="24"/>
          <w14:ligatures w14:val="standardContextual"/>
        </w:rPr>
        <w:tab/>
      </w:r>
      <w:r>
        <w:t>Should Liability Be Placed on Platforms?</w:t>
      </w:r>
      <w:r>
        <w:tab/>
      </w:r>
      <w:r>
        <w:fldChar w:fldCharType="begin"/>
      </w:r>
      <w:r>
        <w:instrText xml:space="preserve"> PAGEREF _Toc188103323 \h </w:instrText>
      </w:r>
      <w:r>
        <w:fldChar w:fldCharType="separate"/>
      </w:r>
      <w:r w:rsidR="005B2884">
        <w:t>258</w:t>
      </w:r>
      <w:r>
        <w:fldChar w:fldCharType="end"/>
      </w:r>
    </w:p>
    <w:p w14:paraId="459ACF71" w14:textId="68B89FA7" w:rsidR="004D25AF" w:rsidRDefault="004D25AF" w:rsidP="00C83FEB">
      <w:pPr>
        <w:pStyle w:val="TOC10"/>
        <w:rPr>
          <w:rFonts w:asciiTheme="minorHAnsi" w:eastAsiaTheme="minorEastAsia" w:hAnsiTheme="minorHAnsi" w:cstheme="minorBidi"/>
          <w:noProof/>
          <w:kern w:val="2"/>
          <w:sz w:val="24"/>
          <w:szCs w:val="24"/>
          <w14:ligatures w14:val="standardContextual"/>
        </w:rPr>
      </w:pPr>
      <w:r>
        <w:rPr>
          <w:noProof/>
        </w:rPr>
        <w:t>Conclusion</w:t>
      </w:r>
      <w:r>
        <w:rPr>
          <w:noProof/>
        </w:rPr>
        <w:tab/>
      </w:r>
      <w:r>
        <w:rPr>
          <w:noProof/>
        </w:rPr>
        <w:fldChar w:fldCharType="begin"/>
      </w:r>
      <w:r>
        <w:rPr>
          <w:noProof/>
        </w:rPr>
        <w:instrText xml:space="preserve"> PAGEREF _Toc188103324 \h </w:instrText>
      </w:r>
      <w:r>
        <w:rPr>
          <w:noProof/>
        </w:rPr>
      </w:r>
      <w:r>
        <w:rPr>
          <w:noProof/>
        </w:rPr>
        <w:fldChar w:fldCharType="separate"/>
      </w:r>
      <w:r w:rsidR="005B2884">
        <w:rPr>
          <w:noProof/>
        </w:rPr>
        <w:t>260</w:t>
      </w:r>
      <w:r>
        <w:rPr>
          <w:noProof/>
        </w:rPr>
        <w:fldChar w:fldCharType="end"/>
      </w:r>
    </w:p>
    <w:p w14:paraId="7CAF692D" w14:textId="5F14FD63" w:rsidR="0004402C" w:rsidRPr="0004402C" w:rsidRDefault="005C3178" w:rsidP="00CD38E6">
      <w:pPr>
        <w:pStyle w:val="Document"/>
        <w:rPr>
          <w:rFonts w:eastAsiaTheme="majorEastAsia" w:cs="Times New Roman (Headings CS)"/>
          <w:b/>
          <w:smallCaps/>
          <w:szCs w:val="32"/>
        </w:rPr>
      </w:pPr>
      <w:r>
        <w:fldChar w:fldCharType="end"/>
      </w:r>
      <w:r w:rsidR="0004402C" w:rsidRPr="0004402C">
        <w:br w:type="page"/>
      </w:r>
    </w:p>
    <w:p w14:paraId="7062EE0A" w14:textId="35D7D787" w:rsidR="0004402C" w:rsidRPr="003808AF" w:rsidRDefault="0004402C" w:rsidP="003808AF">
      <w:pPr>
        <w:pStyle w:val="SubHead1"/>
      </w:pPr>
      <w:bookmarkStart w:id="0" w:name="_Toc180790097"/>
      <w:bookmarkStart w:id="1" w:name="_Toc188103302"/>
      <w:r w:rsidRPr="003808AF">
        <w:lastRenderedPageBreak/>
        <w:t>Introduction</w:t>
      </w:r>
      <w:bookmarkEnd w:id="0"/>
      <w:bookmarkEnd w:id="1"/>
    </w:p>
    <w:p w14:paraId="7C3BD29A" w14:textId="77777777" w:rsidR="0004402C" w:rsidRPr="00CD38E6" w:rsidRDefault="0004402C" w:rsidP="00DF3D0B">
      <w:pPr>
        <w:pStyle w:val="Document"/>
      </w:pPr>
      <w:r w:rsidRPr="00CD38E6" w:rsidDel="00DF3D0B">
        <w:t>The digitization and platformization of society mean that more content than ever is instantaneously accessible and people from all corners of the world can communicate and collaborate with one another. However, when that content is false, harassing, or otherwise hateful, these same features become dangerous</w:t>
      </w:r>
      <w:r w:rsidRPr="00CD38E6">
        <w:t xml:space="preserve">. </w:t>
      </w:r>
    </w:p>
    <w:p w14:paraId="0F25EF58" w14:textId="77777777" w:rsidR="0004402C" w:rsidRPr="0004402C" w:rsidRDefault="0004402C" w:rsidP="00CD38E6">
      <w:pPr>
        <w:pStyle w:val="Document"/>
      </w:pPr>
      <w:r w:rsidRPr="0004402C">
        <w:t>For example, after former President Trump’s defeat in the 2020 presidential election, an estimated 2,000 of his supporters stormed the Capitol on January 6th, 2021</w:t>
      </w:r>
      <w:r w:rsidR="0072141A">
        <w:t xml:space="preserve"> during</w:t>
      </w:r>
      <w:r w:rsidRPr="0004402C">
        <w:t xml:space="preserve"> </w:t>
      </w:r>
      <w:r w:rsidR="0072141A">
        <w:t xml:space="preserve">a </w:t>
      </w:r>
      <w:r w:rsidR="00DC39C4">
        <w:t xml:space="preserve">legislative </w:t>
      </w:r>
      <w:r w:rsidRPr="0004402C">
        <w:t>meeting to certify President Biden’s win.</w:t>
      </w:r>
      <w:r w:rsidRPr="00FB2412">
        <w:rPr>
          <w:rStyle w:val="FootnoteReference"/>
        </w:rPr>
        <w:footnoteReference w:id="3"/>
      </w:r>
      <w:r w:rsidRPr="00B32346">
        <w:t xml:space="preserve"> As the riot was ongoing, Trump posted a video to his Facebook and Instagram accounts repeating claims</w:t>
      </w:r>
      <w:r w:rsidRPr="0004402C">
        <w:t xml:space="preserve"> of election fraud</w:t>
      </w:r>
      <w:r w:rsidR="00491A70">
        <w:t>.</w:t>
      </w:r>
      <w:r w:rsidR="00491A70">
        <w:rPr>
          <w:rStyle w:val="FootnoteReference"/>
        </w:rPr>
        <w:footnoteReference w:id="4"/>
      </w:r>
      <w:r>
        <w:t xml:space="preserve"> </w:t>
      </w:r>
      <w:r w:rsidR="0088670C">
        <w:t>A</w:t>
      </w:r>
      <w:r>
        <w:t>s</w:t>
      </w:r>
      <w:r w:rsidRPr="0004402C">
        <w:t xml:space="preserve"> police </w:t>
      </w:r>
      <w:r w:rsidDel="0004402C">
        <w:t xml:space="preserve">were </w:t>
      </w:r>
      <w:r w:rsidRPr="0004402C">
        <w:t>secur</w:t>
      </w:r>
      <w:r>
        <w:t>ing</w:t>
      </w:r>
      <w:r w:rsidRPr="0004402C">
        <w:t xml:space="preserve"> the Capitol, Trump </w:t>
      </w:r>
      <w:r w:rsidDel="0004402C">
        <w:t xml:space="preserve">again </w:t>
      </w:r>
      <w:r w:rsidRPr="0004402C">
        <w:t>posted to Facebook urging his support</w:t>
      </w:r>
      <w:r w:rsidR="00CB12F7">
        <w:t>er</w:t>
      </w:r>
      <w:r w:rsidRPr="0004402C">
        <w:t>s to “Remember this day forever!”</w:t>
      </w:r>
      <w:r w:rsidRPr="00FB2412">
        <w:rPr>
          <w:rStyle w:val="FootnoteReference"/>
        </w:rPr>
        <w:footnoteReference w:id="5"/>
      </w:r>
      <w:r w:rsidRPr="0004402C">
        <w:t xml:space="preserve"> </w:t>
      </w:r>
      <w:r w:rsidR="00037EEA">
        <w:t xml:space="preserve">In response, </w:t>
      </w:r>
      <w:r w:rsidRPr="0004402C">
        <w:t xml:space="preserve">Facebook </w:t>
      </w:r>
      <w:r w:rsidDel="0004402C">
        <w:t xml:space="preserve">not only </w:t>
      </w:r>
      <w:r w:rsidRPr="0004402C">
        <w:t>removed these posts for violating its Community Standard on Dangerous Individuals and Organizations</w:t>
      </w:r>
      <w:r>
        <w:t xml:space="preserve">, </w:t>
      </w:r>
      <w:r w:rsidDel="0004402C">
        <w:t xml:space="preserve">but also </w:t>
      </w:r>
      <w:r w:rsidRPr="0004402C">
        <w:t xml:space="preserve">blocked Trump from posting </w:t>
      </w:r>
      <w:r w:rsidDel="0004402C">
        <w:t>to Facebook and Instagram</w:t>
      </w:r>
      <w:r w:rsidRPr="0004402C">
        <w:t xml:space="preserve"> until President Biden had been inaugurated.</w:t>
      </w:r>
      <w:r w:rsidRPr="00FB2412">
        <w:rPr>
          <w:rStyle w:val="FootnoteReference"/>
        </w:rPr>
        <w:footnoteReference w:id="6"/>
      </w:r>
      <w:r w:rsidRPr="0004402C">
        <w:t xml:space="preserve"> Another example of content moderation </w:t>
      </w:r>
      <w:r w:rsidDel="0004402C">
        <w:t xml:space="preserve">at work </w:t>
      </w:r>
      <w:r w:rsidRPr="0004402C">
        <w:t>involves</w:t>
      </w:r>
      <w:r w:rsidDel="0004402C">
        <w:t xml:space="preserve">, perhaps ironically, </w:t>
      </w:r>
      <w:r w:rsidRPr="0004402C">
        <w:t xml:space="preserve">Elon Musk’s </w:t>
      </w:r>
      <w:r w:rsidDel="0004402C">
        <w:t xml:space="preserve">$44 billion acquisition of </w:t>
      </w:r>
      <w:r w:rsidRPr="0004402C">
        <w:t>Twitter/X</w:t>
      </w:r>
      <w:r w:rsidDel="0004402C">
        <w:t xml:space="preserve"> </w:t>
      </w:r>
      <w:r w:rsidRPr="0004402C">
        <w:t>in 2022</w:t>
      </w:r>
      <w:r w:rsidDel="0004402C">
        <w:t>, which was</w:t>
      </w:r>
      <w:r w:rsidRPr="0004402C">
        <w:t xml:space="preserve"> largely centered around </w:t>
      </w:r>
      <w:r w:rsidDel="0004402C">
        <w:t xml:space="preserve">Musk’s </w:t>
      </w:r>
      <w:r w:rsidRPr="0004402C">
        <w:t>desire to make Twitter a platform for “free speech” and</w:t>
      </w:r>
      <w:r w:rsidDel="0004402C">
        <w:t xml:space="preserve"> to</w:t>
      </w:r>
      <w:r w:rsidRPr="0004402C">
        <w:t xml:space="preserve"> overhaul (and presumably loosen) its content moderation policies.</w:t>
      </w:r>
      <w:r w:rsidRPr="00FB2412">
        <w:rPr>
          <w:rStyle w:val="FootnoteReference"/>
        </w:rPr>
        <w:footnoteReference w:id="7"/>
      </w:r>
      <w:r w:rsidRPr="0004402C">
        <w:t xml:space="preserve"> </w:t>
      </w:r>
      <w:r>
        <w:t>Yet</w:t>
      </w:r>
      <w:r w:rsidDel="0004402C">
        <w:t>,</w:t>
      </w:r>
      <w:r w:rsidRPr="0004402C">
        <w:t xml:space="preserve"> Musk </w:t>
      </w:r>
      <w:r w:rsidDel="0004402C">
        <w:t xml:space="preserve">cannot </w:t>
      </w:r>
      <w:r w:rsidRPr="0004402C">
        <w:t>escape content moderation</w:t>
      </w:r>
      <w:r>
        <w:t>:</w:t>
      </w:r>
      <w:r w:rsidRPr="0004402C">
        <w:t xml:space="preserve"> </w:t>
      </w:r>
      <w:r>
        <w:t>f</w:t>
      </w:r>
      <w:r w:rsidRPr="0004402C">
        <w:t xml:space="preserve">or </w:t>
      </w:r>
      <w:r>
        <w:t>example</w:t>
      </w:r>
      <w:r w:rsidRPr="0004402C">
        <w:t>, after AI-generated sexually explicit images of Taylor Swift spread on Twitter/X during the week</w:t>
      </w:r>
      <w:r>
        <w:t>, on</w:t>
      </w:r>
      <w:r w:rsidRPr="0004402C">
        <w:t xml:space="preserve"> January 28, 2024, Twitter/X blocked users from searching for “Taylor Swift.”</w:t>
      </w:r>
      <w:r w:rsidRPr="00FB2412">
        <w:rPr>
          <w:rStyle w:val="FootnoteReference"/>
        </w:rPr>
        <w:footnoteReference w:id="8"/>
      </w:r>
      <w:r w:rsidRPr="0004402C">
        <w:t xml:space="preserve"> </w:t>
      </w:r>
    </w:p>
    <w:p w14:paraId="62D0F81F" w14:textId="05CBB3E1" w:rsidR="009F731F" w:rsidRDefault="0004402C" w:rsidP="009F731F">
      <w:pPr>
        <w:pStyle w:val="Document"/>
      </w:pPr>
      <w:r w:rsidRPr="00CD38E6">
        <w:t xml:space="preserve">These events illustrate </w:t>
      </w:r>
      <w:r w:rsidR="00E45CB6">
        <w:t>society</w:t>
      </w:r>
      <w:r w:rsidR="00E46AD3">
        <w:t>’</w:t>
      </w:r>
      <w:r w:rsidR="00E45CB6">
        <w:t xml:space="preserve">s </w:t>
      </w:r>
      <w:r w:rsidRPr="00CD38E6">
        <w:t xml:space="preserve">growing concerns regarding </w:t>
      </w:r>
      <w:r w:rsidR="00E45CB6">
        <w:t xml:space="preserve">the spread of </w:t>
      </w:r>
      <w:r w:rsidRPr="00CD38E6">
        <w:t xml:space="preserve">false information, harassment, and hate speech on </w:t>
      </w:r>
      <w:r w:rsidRPr="00CD38E6">
        <w:lastRenderedPageBreak/>
        <w:t xml:space="preserve">social media platforms. These concerns, in addition to platforms’ lack of transparency about their content moderation decisions, have caused both lawmakers across the globe and platforms themselves to </w:t>
      </w:r>
      <w:r w:rsidR="00E45CB6">
        <w:t>reconsider</w:t>
      </w:r>
      <w:r w:rsidRPr="00CD38E6">
        <w:t xml:space="preserve"> platform liability and content</w:t>
      </w:r>
      <w:r w:rsidRPr="0004402C">
        <w:t xml:space="preserve"> </w:t>
      </w:r>
      <w:r w:rsidRPr="00CD38E6">
        <w:t>moderation policies. Platforms are being increasingly called upon to take a more active role in content moderation to mitigate the impact of “bad” content. Their ability to do so is still unclear, especially given the opacity of their content moderation policies.</w:t>
      </w:r>
      <w:r w:rsidRPr="00FB2412">
        <w:rPr>
          <w:rStyle w:val="FootnoteReference"/>
        </w:rPr>
        <w:footnoteReference w:id="9"/>
      </w:r>
      <w:r w:rsidRPr="00CD38E6">
        <w:t xml:space="preserve"> In the U.S., lawmakers have called for the reform or repeal of Section 230, which generally provides platforms with immunity from user-generated content and allows platforms to engage in good faith efforts to moderate that content.</w:t>
      </w:r>
      <w:r w:rsidRPr="00FB2412">
        <w:rPr>
          <w:rStyle w:val="FootnoteReference"/>
        </w:rPr>
        <w:footnoteReference w:id="10"/>
      </w:r>
      <w:r w:rsidRPr="00CD38E6">
        <w:t xml:space="preserve"> In Europe, lawmakers have passed the Electronic Commerce Directive and the Digital Services Act, which create a notice-and-takedown regime</w:t>
      </w:r>
      <w:r w:rsidRPr="00CD38E6" w:rsidDel="00CA6E94">
        <w:t xml:space="preserve"> and</w:t>
      </w:r>
      <w:r w:rsidRPr="00CD38E6">
        <w:t xml:space="preserve"> tiered reporting and transparency obligations for platforms.</w:t>
      </w:r>
    </w:p>
    <w:p w14:paraId="1324B60B" w14:textId="77777777" w:rsidR="0004402C" w:rsidRPr="0004402C" w:rsidRDefault="0004402C" w:rsidP="00CD38E6">
      <w:pPr>
        <w:pStyle w:val="Document"/>
      </w:pPr>
      <w:r w:rsidRPr="0004402C">
        <w:t xml:space="preserve">However, these content moderation measures do not adequately </w:t>
      </w:r>
      <w:r w:rsidRPr="0004402C" w:rsidDel="007C2C04">
        <w:t xml:space="preserve">reflect </w:t>
      </w:r>
      <w:r w:rsidRPr="0004402C">
        <w:t xml:space="preserve">the practical </w:t>
      </w:r>
      <w:r w:rsidRPr="0004402C" w:rsidDel="003B6A76">
        <w:t xml:space="preserve">realities </w:t>
      </w:r>
      <w:r w:rsidRPr="0004402C">
        <w:t>of a key element of the digital age: open source software (OSS). Many OSS developers rely on version control hosting platforms to communicate and collaborate with other developers</w:t>
      </w:r>
      <w:r w:rsidRPr="0004402C" w:rsidDel="004E4239">
        <w:t>, and a</w:t>
      </w:r>
      <w:r w:rsidRPr="0004402C">
        <w:t>s internet platforms, these tools fall within the scope of platform-related content moderation policies. Yet</w:t>
      </w:r>
      <w:r w:rsidRPr="0004402C" w:rsidDel="00E02D0C">
        <w:t>,</w:t>
      </w:r>
      <w:r w:rsidRPr="0004402C">
        <w:t xml:space="preserve"> platforms used by </w:t>
      </w:r>
      <w:r w:rsidRPr="0004402C" w:rsidDel="00064680">
        <w:t xml:space="preserve">the </w:t>
      </w:r>
      <w:r w:rsidRPr="0004402C">
        <w:t xml:space="preserve">OSS </w:t>
      </w:r>
      <w:r w:rsidRPr="0004402C" w:rsidDel="00064680">
        <w:t xml:space="preserve">community </w:t>
      </w:r>
      <w:r w:rsidRPr="0004402C">
        <w:t>have concerns distinct from those of the traditional social media platforms from which content moderation law is derived. These differences arise from the technical systems—particularly version control systems—used to participate in OSS development (discussed in Section I of this paper), the social norms (Section II) and governance (Section I</w:t>
      </w:r>
      <w:r w:rsidR="00DC599A">
        <w:t>II</w:t>
      </w:r>
      <w:r w:rsidRPr="0004402C">
        <w:t xml:space="preserve">) of the OSS community, and the types of content on these platforms (Section </w:t>
      </w:r>
      <w:r w:rsidR="00DC599A">
        <w:t>I</w:t>
      </w:r>
      <w:r w:rsidRPr="0004402C">
        <w:t xml:space="preserve">V). </w:t>
      </w:r>
    </w:p>
    <w:p w14:paraId="20B3E904" w14:textId="16DC0E7E" w:rsidR="0004402C" w:rsidRPr="0004402C" w:rsidRDefault="0004402C" w:rsidP="00CD38E6">
      <w:pPr>
        <w:pStyle w:val="Document"/>
      </w:pPr>
      <w:r w:rsidRPr="0004402C" w:rsidDel="00C63721">
        <w:t xml:space="preserve">When </w:t>
      </w:r>
      <w:r w:rsidRPr="0004402C">
        <w:t>analyzing</w:t>
      </w:r>
      <w:r w:rsidR="00C63721" w:rsidRPr="0004402C">
        <w:t xml:space="preserve"> </w:t>
      </w:r>
      <w:r w:rsidRPr="0004402C">
        <w:t>the way in which current and proposed content moderation laws (Section V) may affect the liability of version control hosting platforms</w:t>
      </w:r>
      <w:r w:rsidR="00C14651">
        <w:t>,</w:t>
      </w:r>
      <w:r w:rsidRPr="0004402C">
        <w:t xml:space="preserve"> such as GitHub, it becomes evident that </w:t>
      </w:r>
      <w:r w:rsidRPr="0004402C" w:rsidDel="00E022BE">
        <w:t xml:space="preserve">through trying to address traditional content moderation harms, </w:t>
      </w:r>
      <w:r w:rsidRPr="0004402C">
        <w:t xml:space="preserve">lawmakers threaten OSS innovation. Furthermore, increasing </w:t>
      </w:r>
      <w:r w:rsidRPr="0004402C">
        <w:lastRenderedPageBreak/>
        <w:t xml:space="preserve">platforms’ liability and obligations </w:t>
      </w:r>
      <w:r w:rsidRPr="0004402C" w:rsidDel="00113964">
        <w:t xml:space="preserve">for </w:t>
      </w:r>
      <w:r w:rsidRPr="0004402C">
        <w:t>user-generated content</w:t>
      </w:r>
      <w:r w:rsidRPr="0004402C" w:rsidDel="007C2C04">
        <w:t xml:space="preserve">, thereby encouraging platforms to more proactively moderate content, </w:t>
      </w:r>
      <w:r w:rsidRPr="0004402C">
        <w:t>will likely have adverse effects (Section VI). Thus, lawmakers must thoroughly consider the OSS community and</w:t>
      </w:r>
      <w:r w:rsidR="00C902C7">
        <w:t xml:space="preserve"> </w:t>
      </w:r>
      <w:r w:rsidRPr="0004402C">
        <w:t>OSS as critical infrastructural content hosted on platforms when developing intermediary liability and content moderation laws (</w:t>
      </w:r>
      <w:r w:rsidR="00DC599A">
        <w:t>Conclusion</w:t>
      </w:r>
      <w:r w:rsidRPr="0004402C">
        <w:t>).</w:t>
      </w:r>
    </w:p>
    <w:p w14:paraId="30FF00EA" w14:textId="54AE3E56" w:rsidR="0004402C" w:rsidRPr="00B440EF" w:rsidRDefault="0004402C" w:rsidP="005F79E6">
      <w:pPr>
        <w:pStyle w:val="SubHead1"/>
        <w:numPr>
          <w:ilvl w:val="0"/>
          <w:numId w:val="3"/>
        </w:numPr>
      </w:pPr>
      <w:bookmarkStart w:id="2" w:name="_Toc180790098"/>
      <w:bookmarkStart w:id="3" w:name="_Toc188103303"/>
      <w:r w:rsidRPr="00B440EF">
        <w:t>Technical Background: Open Source and Version Control Systems</w:t>
      </w:r>
      <w:bookmarkEnd w:id="2"/>
      <w:bookmarkEnd w:id="3"/>
    </w:p>
    <w:p w14:paraId="41D2EF45" w14:textId="295D9196" w:rsidR="0004402C" w:rsidRPr="0004402C" w:rsidRDefault="0004402C" w:rsidP="00CD38E6">
      <w:pPr>
        <w:pStyle w:val="Document"/>
      </w:pPr>
      <w:r w:rsidDel="0004402C">
        <w:t>As an estimated 9</w:t>
      </w:r>
      <w:r w:rsidR="003D1DE2">
        <w:t>6 percent</w:t>
      </w:r>
      <w:r w:rsidDel="0004402C">
        <w:t xml:space="preserve"> of code bases include OSS components,</w:t>
      </w:r>
      <w:r w:rsidRPr="00196B22" w:rsidDel="00F67F95">
        <w:rPr>
          <w:rStyle w:val="NoterefInText"/>
        </w:rPr>
        <w:footnoteReference w:id="11"/>
      </w:r>
      <w:r w:rsidDel="0004402C">
        <w:t xml:space="preserve"> it is important to understand the meaning of open source as well as the technologies used to create OSS and participate in the open source community</w:t>
      </w:r>
      <w:r w:rsidRPr="0004402C">
        <w:t>.</w:t>
      </w:r>
    </w:p>
    <w:p w14:paraId="5431F0DF" w14:textId="7D5030E9" w:rsidR="0004402C" w:rsidRPr="0004402C" w:rsidRDefault="0004402C" w:rsidP="005F79E6">
      <w:pPr>
        <w:pStyle w:val="SubHead2"/>
        <w:numPr>
          <w:ilvl w:val="0"/>
          <w:numId w:val="4"/>
        </w:numPr>
      </w:pPr>
      <w:bookmarkStart w:id="4" w:name="_Toc180790099"/>
      <w:bookmarkStart w:id="5" w:name="_Toc188103304"/>
      <w:r w:rsidRPr="0004402C">
        <w:t>Open Source (Software)</w:t>
      </w:r>
      <w:bookmarkEnd w:id="4"/>
      <w:bookmarkEnd w:id="5"/>
    </w:p>
    <w:p w14:paraId="6686BA35" w14:textId="39A7C3C2" w:rsidR="009F731F" w:rsidRDefault="0004402C" w:rsidP="009F731F">
      <w:pPr>
        <w:pStyle w:val="Document"/>
      </w:pPr>
      <w:r w:rsidRPr="0004402C">
        <w:t xml:space="preserve">Generally, “open source software” is software that is freely and publicly available for distribution, editing, and use. </w:t>
      </w:r>
      <w:r w:rsidR="00EC19E0">
        <w:t>The term</w:t>
      </w:r>
      <w:r w:rsidR="001C4DA8">
        <w:t xml:space="preserve"> </w:t>
      </w:r>
      <w:r w:rsidRPr="0004402C">
        <w:t>“</w:t>
      </w:r>
      <w:r w:rsidR="00EC19E0">
        <w:t>o</w:t>
      </w:r>
      <w:r w:rsidRPr="0004402C">
        <w:t xml:space="preserve">pen source” emerged </w:t>
      </w:r>
      <w:r w:rsidR="00EC19E0">
        <w:t xml:space="preserve">in the software context </w:t>
      </w:r>
      <w:r w:rsidRPr="0004402C">
        <w:t>in the late 1990s,</w:t>
      </w:r>
      <w:r w:rsidRPr="00FB2412">
        <w:rPr>
          <w:rStyle w:val="FootnoteReference"/>
        </w:rPr>
        <w:footnoteReference w:id="12"/>
      </w:r>
      <w:r w:rsidRPr="0004402C">
        <w:t xml:space="preserve"> but the practice of sharing software</w:t>
      </w:r>
      <w:r w:rsidR="00CE400E">
        <w:t>,</w:t>
      </w:r>
      <w:r w:rsidRPr="0004402C">
        <w:t xml:space="preserve"> and the belief that </w:t>
      </w:r>
      <w:r>
        <w:t xml:space="preserve">all would </w:t>
      </w:r>
      <w:r w:rsidRPr="0004402C">
        <w:t xml:space="preserve">benefit from </w:t>
      </w:r>
      <w:r>
        <w:t>doing so,</w:t>
      </w:r>
      <w:r w:rsidRPr="0004402C">
        <w:t xml:space="preserve"> has been a part of the culture of computer science since at least the 1960s.</w:t>
      </w:r>
      <w:r w:rsidRPr="00FB2412">
        <w:rPr>
          <w:rStyle w:val="FootnoteReference"/>
        </w:rPr>
        <w:footnoteReference w:id="13"/>
      </w:r>
    </w:p>
    <w:p w14:paraId="1EEB083D" w14:textId="77777777" w:rsidR="0004402C" w:rsidRPr="0004402C" w:rsidRDefault="0004402C" w:rsidP="00CD38E6">
      <w:pPr>
        <w:pStyle w:val="Document"/>
      </w:pPr>
      <w:r w:rsidRPr="0004402C">
        <w:t>The “source” part of “open source” refers to source code, the primary product of open source development.</w:t>
      </w:r>
      <w:r w:rsidRPr="00FB2412">
        <w:rPr>
          <w:rStyle w:val="FootnoteReference"/>
        </w:rPr>
        <w:footnoteReference w:id="14"/>
      </w:r>
      <w:r w:rsidRPr="0004402C">
        <w:t xml:space="preserve"> Source code is a set of instructions (“programs”) for a machine to execute.</w:t>
      </w:r>
      <w:r w:rsidRPr="00FB2412">
        <w:rPr>
          <w:rStyle w:val="FootnoteReference"/>
        </w:rPr>
        <w:footnoteReference w:id="15"/>
      </w:r>
      <w:r w:rsidRPr="0004402C">
        <w:t xml:space="preserve"> Source code tends to be written in higher-level (essentially, human-readable) programming languages that can be accessed and modified on text editors.</w:t>
      </w:r>
      <w:r w:rsidRPr="00FB2412">
        <w:rPr>
          <w:rStyle w:val="FootnoteReference"/>
        </w:rPr>
        <w:footnoteReference w:id="16"/>
      </w:r>
    </w:p>
    <w:p w14:paraId="202672C3" w14:textId="77777777" w:rsidR="0004402C" w:rsidRPr="0004402C" w:rsidRDefault="0004402C" w:rsidP="00CD38E6">
      <w:pPr>
        <w:pStyle w:val="Document"/>
      </w:pPr>
      <w:r w:rsidRPr="0004402C">
        <w:t>The “open” part of “open source” is a more amorphous concept but generally has three key characteristics: the free redistribution of software, the accessibility of the source code, and the right to modify and create derivations of the original software.</w:t>
      </w:r>
      <w:r w:rsidRPr="00FB2412">
        <w:rPr>
          <w:rStyle w:val="FootnoteReference"/>
        </w:rPr>
        <w:footnoteReference w:id="17"/>
      </w:r>
      <w:r w:rsidRPr="0004402C">
        <w:t xml:space="preserve"> When </w:t>
      </w:r>
      <w:r w:rsidRPr="0004402C">
        <w:lastRenderedPageBreak/>
        <w:t>source code is made available to the public, users can become developers and make changes to the source code themselves.</w:t>
      </w:r>
      <w:r w:rsidRPr="00FB2412">
        <w:rPr>
          <w:rStyle w:val="FootnoteReference"/>
        </w:rPr>
        <w:footnoteReference w:id="18"/>
      </w:r>
      <w:r w:rsidRPr="0004402C">
        <w:t xml:space="preserve"> Often, the openness of open source development leads to a model of open collaboration, a system of innovation where contributors share the work of creating a product and reveal their results to the public—both contributors and noncontributors—for </w:t>
      </w:r>
      <w:r w:rsidR="00665658">
        <w:t>the public’s</w:t>
      </w:r>
      <w:r w:rsidRPr="0004402C">
        <w:t xml:space="preserve"> use.</w:t>
      </w:r>
      <w:r w:rsidRPr="00FB2412">
        <w:rPr>
          <w:rStyle w:val="FootnoteReference"/>
        </w:rPr>
        <w:footnoteReference w:id="19"/>
      </w:r>
      <w:r w:rsidRPr="0004402C">
        <w:t xml:space="preserve"> </w:t>
      </w:r>
    </w:p>
    <w:p w14:paraId="656F26EB" w14:textId="77777777" w:rsidR="0004402C" w:rsidRPr="0004402C" w:rsidRDefault="0004402C" w:rsidP="00CD38E6">
      <w:pPr>
        <w:pStyle w:val="Document"/>
      </w:pPr>
      <w:r w:rsidRPr="0004402C">
        <w:t>For simplicity’s sake, the word “product” throughout th</w:t>
      </w:r>
      <w:r w:rsidR="009313C2">
        <w:t>is</w:t>
      </w:r>
      <w:r w:rsidRPr="0004402C">
        <w:t xml:space="preserve"> paper refers to the code files that make up a software program. In practice, open source products are not always software programs, and software programs are not exclusively made up of code files (for example, images, datasets in the “Excel spreadsheet” sense, and a variety of other files can be part of a software program).</w:t>
      </w:r>
    </w:p>
    <w:p w14:paraId="44C1908D" w14:textId="644C7D48" w:rsidR="0004402C" w:rsidRPr="0004402C" w:rsidRDefault="0004402C" w:rsidP="00CD38E6">
      <w:pPr>
        <w:pStyle w:val="Document"/>
      </w:pPr>
      <w:r w:rsidRPr="0004402C">
        <w:t>Because open collaboration tends toward encouraging broad participation and messy development,</w:t>
      </w:r>
      <w:r w:rsidRPr="00FB2412">
        <w:rPr>
          <w:rStyle w:val="FootnoteReference"/>
        </w:rPr>
        <w:footnoteReference w:id="20"/>
      </w:r>
      <w:r w:rsidRPr="0004402C">
        <w:t xml:space="preserve"> a </w:t>
      </w:r>
      <w:r>
        <w:t>crucial part</w:t>
      </w:r>
      <w:r w:rsidRPr="0004402C">
        <w:t xml:space="preserve"> of coordinating work is managing changes across a large number of potentially geographically </w:t>
      </w:r>
      <w:r>
        <w:t xml:space="preserve">diffuse </w:t>
      </w:r>
      <w:r w:rsidRPr="0004402C">
        <w:t>programmers who are all attempting to make changes to the same file or set of files.</w:t>
      </w:r>
      <w:r w:rsidRPr="00FB2412">
        <w:rPr>
          <w:rStyle w:val="FootnoteReference"/>
        </w:rPr>
        <w:footnoteReference w:id="21"/>
      </w:r>
      <w:r w:rsidRPr="0004402C">
        <w:t xml:space="preserve"> One way to do so is through version control systems.</w:t>
      </w:r>
      <w:r w:rsidRPr="00FB2412">
        <w:rPr>
          <w:rStyle w:val="FootnoteReference"/>
        </w:rPr>
        <w:footnoteReference w:id="22"/>
      </w:r>
    </w:p>
    <w:p w14:paraId="50D342AB" w14:textId="3B8F76D8" w:rsidR="0004402C" w:rsidRPr="0004402C" w:rsidRDefault="0004402C" w:rsidP="005F79E6">
      <w:pPr>
        <w:pStyle w:val="SubHead2"/>
        <w:numPr>
          <w:ilvl w:val="0"/>
          <w:numId w:val="4"/>
        </w:numPr>
      </w:pPr>
      <w:bookmarkStart w:id="6" w:name="_Toc180790100"/>
      <w:bookmarkStart w:id="7" w:name="_Toc188103305"/>
      <w:r w:rsidRPr="0004402C">
        <w:t>Version Control Systems: Centralized vs. Distributed</w:t>
      </w:r>
      <w:bookmarkEnd w:id="6"/>
      <w:bookmarkEnd w:id="7"/>
    </w:p>
    <w:p w14:paraId="34BD4FF4" w14:textId="77777777" w:rsidR="0004402C" w:rsidRPr="0004402C" w:rsidRDefault="0004402C" w:rsidP="009F731F">
      <w:pPr>
        <w:pStyle w:val="Document"/>
      </w:pPr>
      <w:r w:rsidRPr="0004402C">
        <w:t xml:space="preserve">Developers use version control systems (VCSs) to manage their projects, and these systems are the core of most code-hosting platforms, including GitHub. For open source developers, VCSs are an integral tool in monitoring precisely who made what changes. At its simplest, a VCS is a database that keeps track of all changes to files the developer selects for </w:t>
      </w:r>
      <w:r w:rsidR="00AF79B6">
        <w:t>such monitoring</w:t>
      </w:r>
      <w:r w:rsidRPr="0004402C">
        <w:t>.</w:t>
      </w:r>
      <w:r w:rsidRPr="00FB2412">
        <w:rPr>
          <w:rStyle w:val="FootnoteReference"/>
        </w:rPr>
        <w:footnoteReference w:id="23"/>
      </w:r>
      <w:r w:rsidRPr="0004402C">
        <w:t xml:space="preserve"> To do this, VCSs store code files as well as the change history of those files and any associated information</w:t>
      </w:r>
      <w:r w:rsidR="005C3178">
        <w:t>, such as</w:t>
      </w:r>
      <w:r w:rsidR="00B3486D">
        <w:t xml:space="preserve"> who </w:t>
      </w:r>
      <w:r w:rsidRPr="0004402C">
        <w:t>made the changes, the date</w:t>
      </w:r>
      <w:r w:rsidR="00402F1F">
        <w:t xml:space="preserve"> and </w:t>
      </w:r>
      <w:r w:rsidRPr="0004402C">
        <w:t>time of each change, and a user-written message explaining the</w:t>
      </w:r>
      <w:r w:rsidR="005C3178" w:rsidDel="0004402C">
        <w:t>ir</w:t>
      </w:r>
      <w:r w:rsidR="009313C2">
        <w:t xml:space="preserve"> </w:t>
      </w:r>
      <w:r w:rsidRPr="0004402C">
        <w:lastRenderedPageBreak/>
        <w:t>changes.</w:t>
      </w:r>
      <w:r w:rsidRPr="00FB2412">
        <w:rPr>
          <w:rStyle w:val="FootnoteReference"/>
        </w:rPr>
        <w:footnoteReference w:id="24"/>
      </w:r>
      <w:r w:rsidRPr="0004402C">
        <w:t xml:space="preserve"> VCSs track changes based on their atomic data unit, “the smallest portion unit of data where any change to a part of this data would constitute the whole unit to be marked as changed.”</w:t>
      </w:r>
      <w:r w:rsidRPr="00FB2412">
        <w:rPr>
          <w:rStyle w:val="FootnoteReference"/>
        </w:rPr>
        <w:footnoteReference w:id="25"/>
      </w:r>
      <w:r w:rsidRPr="0004402C">
        <w:t xml:space="preserve"> For text-based VCSs, the atomic data unit is often one line of a text file.</w:t>
      </w:r>
      <w:r w:rsidRPr="00FB2412">
        <w:rPr>
          <w:rStyle w:val="FootnoteReference"/>
        </w:rPr>
        <w:footnoteReference w:id="26"/>
      </w:r>
      <w:r w:rsidR="00D20E6A">
        <w:t xml:space="preserve"> </w:t>
      </w:r>
      <w:r w:rsidR="00382EC0">
        <w:t>Thus</w:t>
      </w:r>
      <w:r w:rsidR="00BA6971">
        <w:t xml:space="preserve">, if </w:t>
      </w:r>
      <w:r w:rsidR="00382EC0">
        <w:t>a</w:t>
      </w:r>
      <w:r w:rsidR="00BA6971">
        <w:t xml:space="preserve"> developer edits a line in </w:t>
      </w:r>
      <w:r w:rsidR="00382EC0">
        <w:t>a</w:t>
      </w:r>
      <w:r w:rsidR="00BA6971">
        <w:t xml:space="preserve"> text file</w:t>
      </w:r>
      <w:r w:rsidR="00213549">
        <w:t>,</w:t>
      </w:r>
      <w:r w:rsidR="00BA6971">
        <w:t xml:space="preserve"> the VCS</w:t>
      </w:r>
      <w:r w:rsidR="00651359">
        <w:t xml:space="preserve"> will </w:t>
      </w:r>
      <w:r w:rsidR="00B31C00">
        <w:t xml:space="preserve">record the change between the old and new </w:t>
      </w:r>
      <w:r w:rsidR="00060342">
        <w:t>versions</w:t>
      </w:r>
      <w:r w:rsidR="00213549">
        <w:t>.</w:t>
      </w:r>
    </w:p>
    <w:p w14:paraId="055F8A47" w14:textId="77777777" w:rsidR="0004402C" w:rsidRPr="0004402C" w:rsidRDefault="00D01C97" w:rsidP="00B9383A">
      <w:pPr>
        <w:pStyle w:val="Document"/>
      </w:pPr>
      <w:r>
        <w:t xml:space="preserve">If multiple users are </w:t>
      </w:r>
      <w:r w:rsidR="000823D5">
        <w:t>working on</w:t>
      </w:r>
      <w:r>
        <w:t xml:space="preserve"> the same </w:t>
      </w:r>
      <w:r w:rsidR="005830C5">
        <w:t>file, the VCS tracks</w:t>
      </w:r>
      <w:r w:rsidR="002F36CF">
        <w:t xml:space="preserve"> </w:t>
      </w:r>
      <w:r w:rsidR="005830C5">
        <w:t>w</w:t>
      </w:r>
      <w:r w:rsidR="009E1A6A">
        <w:t>h</w:t>
      </w:r>
      <w:r w:rsidR="005830C5">
        <w:t xml:space="preserve">ere </w:t>
      </w:r>
      <w:r w:rsidR="00A51E0F">
        <w:t>the</w:t>
      </w:r>
      <w:r w:rsidR="000823D5">
        <w:t>ir</w:t>
      </w:r>
      <w:r w:rsidR="00A51E0F">
        <w:t xml:space="preserve"> </w:t>
      </w:r>
      <w:r w:rsidR="000823D5">
        <w:t>changes</w:t>
      </w:r>
      <w:r w:rsidR="002F36CF">
        <w:t xml:space="preserve"> </w:t>
      </w:r>
      <w:r w:rsidR="00C41CCC">
        <w:t xml:space="preserve">might </w:t>
      </w:r>
      <w:r w:rsidR="002F36CF">
        <w:t>conflict with each other.</w:t>
      </w:r>
      <w:r w:rsidR="00A51E0F">
        <w:t xml:space="preserve"> </w:t>
      </w:r>
      <w:r w:rsidR="0004402C" w:rsidRPr="0004402C">
        <w:t>If none of the atomic data units modified by the current user have also been modified by a prior user, the VCS will automatically incorporate the prior changes and allow the current user to “commit” their new changes, which sends those changes to the data set.</w:t>
      </w:r>
      <w:r w:rsidR="0004402C" w:rsidRPr="00FB2412">
        <w:rPr>
          <w:rStyle w:val="FootnoteReference"/>
        </w:rPr>
        <w:footnoteReference w:id="27"/>
      </w:r>
      <w:r w:rsidR="0004402C" w:rsidRPr="0004402C">
        <w:t xml:space="preserve"> However, if any of the atomic data units modified by the current user ha</w:t>
      </w:r>
      <w:r w:rsidR="00916778">
        <w:t>ve</w:t>
      </w:r>
      <w:r w:rsidR="0004402C" w:rsidRPr="0004402C">
        <w:t xml:space="preserve"> also been modified by a prior user, then the current user’s local copy is in a state of “conflict” with the repository.</w:t>
      </w:r>
      <w:r w:rsidR="0004402C" w:rsidRPr="00FB2412">
        <w:rPr>
          <w:rStyle w:val="FootnoteReference"/>
        </w:rPr>
        <w:footnoteReference w:id="28"/>
      </w:r>
      <w:r w:rsidR="0004402C" w:rsidRPr="0004402C">
        <w:t xml:space="preserve"> In this state, the current user will not be able to commit their changes until they manually “resolve” the conflicts by incorporating the committed changes of the prior user into their local copy, along with their own edits and any other necessary changes.</w:t>
      </w:r>
      <w:r w:rsidR="0004402C" w:rsidRPr="00FB2412">
        <w:rPr>
          <w:rStyle w:val="FootnoteReference"/>
        </w:rPr>
        <w:footnoteReference w:id="29"/>
      </w:r>
    </w:p>
    <w:p w14:paraId="0809FB19" w14:textId="77777777" w:rsidR="0004402C" w:rsidRPr="0004402C" w:rsidRDefault="0004402C" w:rsidP="00CD38E6">
      <w:pPr>
        <w:pStyle w:val="Document"/>
      </w:pPr>
      <w:r w:rsidRPr="0004402C">
        <w:t>Generally, there are two different types of VCSs for collaboration: centralized and decentralized (or distributed).</w:t>
      </w:r>
      <w:r w:rsidRPr="00FB2412">
        <w:rPr>
          <w:rStyle w:val="FootnoteReference"/>
        </w:rPr>
        <w:footnoteReference w:id="30"/>
      </w:r>
    </w:p>
    <w:p w14:paraId="248D09DD" w14:textId="77777777" w:rsidR="0004402C" w:rsidRDefault="0004402C" w:rsidP="00CD38E6">
      <w:pPr>
        <w:pStyle w:val="Document"/>
      </w:pPr>
      <w:r w:rsidRPr="0004402C">
        <w:t>Centralized version control systems (CVCSs) have a single “source of truth,” typically a central repository that contains all of the versioned files.</w:t>
      </w:r>
      <w:r w:rsidRPr="00FB2412">
        <w:rPr>
          <w:rStyle w:val="FootnoteReference"/>
        </w:rPr>
        <w:footnoteReference w:id="31"/>
      </w:r>
      <w:r w:rsidRPr="0004402C">
        <w:t xml:space="preserve"> An obvious disadvantage to this structure is that there is a single point of failure: if those files are tampered with or corrupted and there are no backups, the entire project is lost.</w:t>
      </w:r>
      <w:r w:rsidRPr="00FB2412">
        <w:rPr>
          <w:rStyle w:val="FootnoteReference"/>
        </w:rPr>
        <w:footnoteReference w:id="32"/>
      </w:r>
      <w:r w:rsidRPr="0004402C">
        <w:rPr>
          <w:b/>
          <w:bCs/>
        </w:rPr>
        <w:t xml:space="preserve"> </w:t>
      </w:r>
      <w:r w:rsidRPr="0004402C">
        <w:t>Because of the need to maintain the integrity of the source code, CVCSs limit those who can actually commit changes</w:t>
      </w:r>
      <w:r w:rsidR="00F13F61">
        <w:t>; t</w:t>
      </w:r>
      <w:r w:rsidRPr="0004402C">
        <w:t>hose without such “write access” cannot directly alter the central repository or gain recognition for their work.</w:t>
      </w:r>
      <w:r w:rsidRPr="00FB2412">
        <w:rPr>
          <w:rStyle w:val="FootnoteReference"/>
        </w:rPr>
        <w:footnoteReference w:id="33"/>
      </w:r>
    </w:p>
    <w:p w14:paraId="443AED4C" w14:textId="7C4CACC5" w:rsidR="0004402C" w:rsidRPr="0004402C" w:rsidRDefault="0004402C" w:rsidP="00CD38E6">
      <w:pPr>
        <w:pStyle w:val="Document"/>
      </w:pPr>
      <w:r w:rsidRPr="0004402C">
        <w:t xml:space="preserve">Due to these and other disadvantages, such as lack of atomic commits and inability to move and rename files, developers moved </w:t>
      </w:r>
      <w:r w:rsidRPr="0004402C">
        <w:lastRenderedPageBreak/>
        <w:t>away from relying on CVCSs in the late 2000s</w:t>
      </w:r>
      <w:r>
        <w:t>,</w:t>
      </w:r>
      <w:r w:rsidRPr="0004402C">
        <w:t xml:space="preserve"> in favor of distributed version control systems.</w:t>
      </w:r>
      <w:r w:rsidRPr="00FB2412">
        <w:rPr>
          <w:rStyle w:val="FootnoteReference"/>
        </w:rPr>
        <w:footnoteReference w:id="34"/>
      </w:r>
    </w:p>
    <w:p w14:paraId="3D9752E2" w14:textId="22FD7902" w:rsidR="00D907F2" w:rsidRPr="0004402C" w:rsidRDefault="0004402C" w:rsidP="00D907F2">
      <w:pPr>
        <w:pStyle w:val="Document"/>
      </w:pPr>
      <w:r w:rsidRPr="0004402C">
        <w:t>Distributed version control systems (DVCSs) relax the “single source of truth” requirement of CVCSs,</w:t>
      </w:r>
      <w:r w:rsidRPr="00FB2412">
        <w:rPr>
          <w:rStyle w:val="FootnoteReference"/>
        </w:rPr>
        <w:footnoteReference w:id="35"/>
      </w:r>
      <w:r w:rsidRPr="0004402C">
        <w:t xml:space="preserve"> which resolves</w:t>
      </w:r>
      <w:r>
        <w:t>,</w:t>
      </w:r>
      <w:r w:rsidRPr="0004402C">
        <w:t xml:space="preserve"> or at least mitigates</w:t>
      </w:r>
      <w:r>
        <w:t>,</w:t>
      </w:r>
      <w:r w:rsidRPr="0004402C">
        <w:t xml:space="preserve"> many disadvantages of CVCSs:</w:t>
      </w:r>
    </w:p>
    <w:p w14:paraId="0D469485" w14:textId="77777777" w:rsidR="00D31479" w:rsidRDefault="0004402C" w:rsidP="00D907F2">
      <w:pPr>
        <w:pStyle w:val="Document"/>
        <w:numPr>
          <w:ilvl w:val="0"/>
          <w:numId w:val="10"/>
        </w:numPr>
        <w:tabs>
          <w:tab w:val="clear" w:pos="0"/>
          <w:tab w:val="clear" w:pos="360"/>
          <w:tab w:val="clear" w:pos="620"/>
        </w:tabs>
      </w:pPr>
      <w:r w:rsidRPr="0004402C">
        <w:t>There is no longer a single point of failure: if any server dies, any developer’s local repository can be copied onto the failed server to restore it.</w:t>
      </w:r>
      <w:r w:rsidRPr="00FB2412">
        <w:rPr>
          <w:rStyle w:val="FootnoteReference"/>
        </w:rPr>
        <w:footnoteReference w:id="36"/>
      </w:r>
    </w:p>
    <w:p w14:paraId="0DAC2289" w14:textId="77777777" w:rsidR="00D31479" w:rsidRDefault="0004402C" w:rsidP="00D907F2">
      <w:pPr>
        <w:pStyle w:val="Document"/>
        <w:numPr>
          <w:ilvl w:val="0"/>
          <w:numId w:val="10"/>
        </w:numPr>
        <w:tabs>
          <w:tab w:val="clear" w:pos="0"/>
          <w:tab w:val="clear" w:pos="360"/>
          <w:tab w:val="clear" w:pos="620"/>
        </w:tabs>
      </w:pPr>
      <w:r w:rsidRPr="0004402C">
        <w:t>Each developer can, without restrictions, commit and save their progress to their own local repository, diminishing the politics of granting write access to the central repository.</w:t>
      </w:r>
      <w:r w:rsidRPr="00FB2412">
        <w:rPr>
          <w:rStyle w:val="FootnoteReference"/>
        </w:rPr>
        <w:footnoteReference w:id="37"/>
      </w:r>
    </w:p>
    <w:p w14:paraId="7F620650" w14:textId="439E4B5E" w:rsidR="0004402C" w:rsidRPr="0004402C" w:rsidRDefault="0004402C" w:rsidP="00984117">
      <w:pPr>
        <w:pStyle w:val="Document"/>
        <w:numPr>
          <w:ilvl w:val="0"/>
          <w:numId w:val="10"/>
        </w:numPr>
        <w:tabs>
          <w:tab w:val="clear" w:pos="0"/>
          <w:tab w:val="clear" w:pos="360"/>
          <w:tab w:val="clear" w:pos="620"/>
        </w:tabs>
      </w:pPr>
      <w:r w:rsidRPr="0004402C">
        <w:t>It is not required for any one branch to be the “source of truth,” but the development community typically identifies such a main, canonical branch.</w:t>
      </w:r>
      <w:r w:rsidRPr="00FB2412">
        <w:rPr>
          <w:rStyle w:val="FootnoteReference"/>
        </w:rPr>
        <w:footnoteReference w:id="38"/>
      </w:r>
      <w:r w:rsidR="00984117">
        <w:t xml:space="preserve"> </w:t>
      </w:r>
      <w:r w:rsidRPr="0004402C">
        <w:t xml:space="preserve">This structure encourages “feature development,” </w:t>
      </w:r>
      <w:r w:rsidR="00AA513E">
        <w:t xml:space="preserve">which means </w:t>
      </w:r>
      <w:r w:rsidRPr="0004402C">
        <w:t>committing all code changes working toward the development of a new feature into a separate branch rather than the main branch.</w:t>
      </w:r>
      <w:r w:rsidRPr="00FB2412">
        <w:rPr>
          <w:rStyle w:val="FootnoteReference"/>
        </w:rPr>
        <w:footnoteReference w:id="39"/>
      </w:r>
    </w:p>
    <w:p w14:paraId="6E993394" w14:textId="11EA563F" w:rsidR="0004402C" w:rsidRPr="0004402C" w:rsidRDefault="0004402C" w:rsidP="0045541D">
      <w:pPr>
        <w:pStyle w:val="Document"/>
        <w:ind w:firstLine="0"/>
      </w:pPr>
      <w:r w:rsidRPr="0004402C">
        <w:t>The distributed nature of DVCSs allows for much more flexibility in how developers can work together.</w:t>
      </w:r>
      <w:r w:rsidRPr="00FB2412">
        <w:rPr>
          <w:rStyle w:val="FootnoteReference"/>
        </w:rPr>
        <w:footnoteReference w:id="40"/>
      </w:r>
      <w:r w:rsidRPr="0004402C">
        <w:t xml:space="preserve"> DVCSs can mimic the centralized workflow of CVCSs, but DVCSs also allow developers to work across multiple repositories</w:t>
      </w:r>
      <w:r w:rsidR="007D2811">
        <w:t>.</w:t>
      </w:r>
      <w:r w:rsidRPr="0004402C">
        <w:t xml:space="preserve"> </w:t>
      </w:r>
      <w:r w:rsidR="007D2811">
        <w:t>F</w:t>
      </w:r>
      <w:r w:rsidRPr="0004402C">
        <w:t>or example, people can contribute to a variety of public repositories</w:t>
      </w:r>
      <w:r>
        <w:t>,</w:t>
      </w:r>
      <w:r w:rsidRPr="0004402C">
        <w:t xml:space="preserve"> and an “integration manager” can add in changes across those repositories into a central repository.</w:t>
      </w:r>
      <w:r w:rsidRPr="00FB2412">
        <w:rPr>
          <w:rStyle w:val="FootnoteReference"/>
        </w:rPr>
        <w:footnoteReference w:id="41"/>
      </w:r>
      <w:r w:rsidRPr="0004402C">
        <w:t xml:space="preserve"> In practice, teams that use DVCSs have higher quality commits than those that use CVCSs: commits are smaller and focused on the intent of the change, rather than driven by concerns about overwhelming teammates.</w:t>
      </w:r>
      <w:r w:rsidRPr="00FB2412">
        <w:rPr>
          <w:rStyle w:val="FootnoteReference"/>
        </w:rPr>
        <w:footnoteReference w:id="42"/>
      </w:r>
    </w:p>
    <w:p w14:paraId="065CB306" w14:textId="2ADF92C0" w:rsidR="0004402C" w:rsidRPr="00B440EF" w:rsidRDefault="0004402C" w:rsidP="005F79E6">
      <w:pPr>
        <w:pStyle w:val="SubHead1"/>
        <w:numPr>
          <w:ilvl w:val="0"/>
          <w:numId w:val="3"/>
        </w:numPr>
        <w:ind w:left="720" w:hanging="720"/>
      </w:pPr>
      <w:bookmarkStart w:id="8" w:name="_Toc180790101"/>
      <w:bookmarkStart w:id="9" w:name="_Toc188103306"/>
      <w:r w:rsidRPr="00B440EF">
        <w:t>Social Dynamics of Open Source Software</w:t>
      </w:r>
      <w:bookmarkEnd w:id="8"/>
      <w:bookmarkEnd w:id="9"/>
    </w:p>
    <w:p w14:paraId="2D4CA334" w14:textId="77777777" w:rsidR="0004402C" w:rsidRPr="0004402C" w:rsidRDefault="0004402C" w:rsidP="00CD38E6">
      <w:pPr>
        <w:pStyle w:val="Document"/>
      </w:pPr>
      <w:r w:rsidRPr="0004402C">
        <w:t xml:space="preserve">Version control systems have become essential to collaboration and developing OSS. The open source community—including the developers, moderators, and users of OSS—has particular demographics and social norms that affect not only how collaborators </w:t>
      </w:r>
      <w:r w:rsidRPr="0004402C">
        <w:lastRenderedPageBreak/>
        <w:t xml:space="preserve">interact with one another, but also their participation in the community at all. The structure and criticisms of VCS platforms reveal concerns about these platforms that are distinct to open source. However, the demographics and norms of the open source community reflect broader societal concerns, such as race, gender, and sexuality biases, that are also prevalent in user base and interactions of traditional social media platforms. </w:t>
      </w:r>
    </w:p>
    <w:p w14:paraId="701DDA4E" w14:textId="32687021" w:rsidR="0004402C" w:rsidRPr="0004402C" w:rsidRDefault="0004402C" w:rsidP="005F79E6">
      <w:pPr>
        <w:pStyle w:val="SubHead2"/>
        <w:numPr>
          <w:ilvl w:val="0"/>
          <w:numId w:val="5"/>
        </w:numPr>
      </w:pPr>
      <w:bookmarkStart w:id="10" w:name="_Toc180790102"/>
      <w:bookmarkStart w:id="11" w:name="_Toc188103307"/>
      <w:r w:rsidRPr="0004402C">
        <w:t>Version Control System Hosting Platforms: GitHub as a Paradigm</w:t>
      </w:r>
      <w:bookmarkEnd w:id="10"/>
      <w:bookmarkEnd w:id="11"/>
    </w:p>
    <w:p w14:paraId="0FAD9F38" w14:textId="77777777" w:rsidR="002017D0" w:rsidRDefault="0004402C" w:rsidP="002017D0">
      <w:pPr>
        <w:pStyle w:val="Document"/>
      </w:pPr>
      <w:r w:rsidRPr="0004402C">
        <w:t>In order to collaborate effectively using VCSs, development groups often prefer to use a “remote repository,” which are versions of the project hosted on the Internet or network that are not any individual user’s machine.</w:t>
      </w:r>
      <w:r w:rsidRPr="00FB2412">
        <w:rPr>
          <w:rStyle w:val="FootnoteReference"/>
        </w:rPr>
        <w:footnoteReference w:id="43"/>
      </w:r>
      <w:r w:rsidRPr="0004402C">
        <w:t xml:space="preserve"> Intermediate, remote repositories allow developers to access the code base even if individual users’ computers are offline.</w:t>
      </w:r>
      <w:r w:rsidRPr="00FB2412">
        <w:rPr>
          <w:rStyle w:val="FootnoteReference"/>
        </w:rPr>
        <w:footnoteReference w:id="44"/>
      </w:r>
      <w:r w:rsidRPr="0004402C">
        <w:t xml:space="preserve"> Today, millions of programmers use Internet-based VCS hosting platforms to manage and collaborate on projects.</w:t>
      </w:r>
      <w:r w:rsidRPr="00FB2412">
        <w:rPr>
          <w:rStyle w:val="FootnoteReference"/>
        </w:rPr>
        <w:footnoteReference w:id="45"/>
      </w:r>
    </w:p>
    <w:p w14:paraId="311A285E" w14:textId="77777777" w:rsidR="0004402C" w:rsidRPr="0004402C" w:rsidRDefault="0004402C" w:rsidP="00CD38E6">
      <w:pPr>
        <w:pStyle w:val="Document"/>
      </w:pPr>
      <w:r w:rsidRPr="0004402C">
        <w:t>VCS hosting platforms host repositories on their servers; developers can connect to these servers through network connection protocols, such as the Secure Shell protocol (SSH) or the Hypertext Transfer Protocol (HTTP).</w:t>
      </w:r>
      <w:r w:rsidRPr="00FB2412">
        <w:rPr>
          <w:rStyle w:val="FootnoteReference"/>
        </w:rPr>
        <w:footnoteReference w:id="46"/>
      </w:r>
      <w:r w:rsidRPr="0004402C">
        <w:t xml:space="preserve"> Having a platform manage these servers, along with security, support, and other considerations that come with storing code, can be more efficient than each individual project group maintaining their own code and VCS hosting platform.</w:t>
      </w:r>
      <w:r w:rsidRPr="00FB2412">
        <w:rPr>
          <w:rStyle w:val="FootnoteReference"/>
        </w:rPr>
        <w:footnoteReference w:id="47"/>
      </w:r>
      <w:r w:rsidRPr="0004402C">
        <w:t xml:space="preserve"> In addition to the VCS, web-based hosting platforms can provide other functionality that incorporates or builds on the full source code and commit history</w:t>
      </w:r>
      <w:r w:rsidR="00A352D5">
        <w:t>.</w:t>
      </w:r>
      <w:r w:rsidRPr="0004402C">
        <w:t xml:space="preserve"> </w:t>
      </w:r>
      <w:r w:rsidR="00516F1C">
        <w:t>Examples include:</w:t>
      </w:r>
      <w:r w:rsidRPr="0004402C">
        <w:t xml:space="preserve"> graphical web interfaces through which users can create, view, and edit code repositories; communication and project management tools like issue tracking, code reviews before merging, and wiki pages; and continuous integration and continuous delivery (CI/CD), which can </w:t>
      </w:r>
      <w:r w:rsidRPr="0004402C">
        <w:lastRenderedPageBreak/>
        <w:t>automatically build and test code whenever changes are committed.</w:t>
      </w:r>
      <w:r w:rsidRPr="00FB2412">
        <w:rPr>
          <w:rStyle w:val="FootnoteReference"/>
        </w:rPr>
        <w:footnoteReference w:id="48"/>
      </w:r>
      <w:r w:rsidRPr="0004402C">
        <w:t xml:space="preserve"> User-friendly graphical web interfaces, in particular, can help increase interest in and use of VCSs, as the typical command-line interface can be difficult for beginners to learn.</w:t>
      </w:r>
      <w:r w:rsidRPr="00FB2412">
        <w:rPr>
          <w:rStyle w:val="FootnoteReference"/>
        </w:rPr>
        <w:footnoteReference w:id="49"/>
      </w:r>
    </w:p>
    <w:p w14:paraId="06217834" w14:textId="77777777" w:rsidR="0004402C" w:rsidRPr="0004402C" w:rsidRDefault="0004402C" w:rsidP="00CD38E6">
      <w:pPr>
        <w:pStyle w:val="Document"/>
      </w:pPr>
      <w:r w:rsidRPr="0004402C">
        <w:t>With over 100 million users</w:t>
      </w:r>
      <w:r>
        <w:t xml:space="preserve"> and </w:t>
      </w:r>
      <w:r w:rsidR="00A7356E">
        <w:t>42</w:t>
      </w:r>
      <w:r>
        <w:t>0 million repositories</w:t>
      </w:r>
      <w:r w:rsidRPr="0004402C">
        <w:t>,</w:t>
      </w:r>
      <w:r w:rsidRPr="00FB2412">
        <w:rPr>
          <w:rStyle w:val="FootnoteReference"/>
        </w:rPr>
        <w:footnoteReference w:id="50"/>
      </w:r>
      <w:r w:rsidRPr="0004402C">
        <w:t xml:space="preserve"> GitHub is arguably the most popular internet-based VCS hosting service. GitHub also claims that 90% of Fortune 100 companies use it as a code hosting and collaboration service,</w:t>
      </w:r>
      <w:r w:rsidRPr="00FB2412">
        <w:rPr>
          <w:rStyle w:val="FootnoteReference"/>
        </w:rPr>
        <w:footnoteReference w:id="51"/>
      </w:r>
      <w:r w:rsidRPr="0004402C">
        <w:t xml:space="preserve"> indicating how GitHub generates revenue. GitHub operates on a freemium business model, offering users basic features for free and charging fees for extra functionality such as additional storage and enhanced security and compliance controls.</w:t>
      </w:r>
      <w:r w:rsidRPr="00FB2412">
        <w:rPr>
          <w:rStyle w:val="FootnoteReference"/>
        </w:rPr>
        <w:footnoteReference w:id="52"/>
      </w:r>
      <w:r w:rsidRPr="0004402C">
        <w:t xml:space="preserve"> Even at the free, basic level, GitHub contains all of the functionality mentioned in the previous paragraph, as well as features that support “social coding,” whereby developers can broadcast their activities—such as code commits, opening issues, etc.—and see the activities of others.</w:t>
      </w:r>
      <w:r w:rsidRPr="00FB2412">
        <w:rPr>
          <w:rStyle w:val="FootnoteReference"/>
        </w:rPr>
        <w:footnoteReference w:id="53"/>
      </w:r>
      <w:r w:rsidRPr="0004402C">
        <w:t xml:space="preserve"> GitHub has pages not only for repositories, but also for user profiles; each user profile contains information about that user’s repositories, recent public activity, the number of other users following them, the number of projects the user is watching, and more.</w:t>
      </w:r>
      <w:r w:rsidRPr="00FB2412">
        <w:rPr>
          <w:rStyle w:val="FootnoteReference"/>
        </w:rPr>
        <w:footnoteReference w:id="54"/>
      </w:r>
      <w:r w:rsidRPr="0004402C">
        <w:t xml:space="preserve"> </w:t>
      </w:r>
    </w:p>
    <w:p w14:paraId="30652A1D" w14:textId="77777777" w:rsidR="0004402C" w:rsidRPr="0004402C" w:rsidRDefault="0004402C" w:rsidP="00CD38E6">
      <w:pPr>
        <w:pStyle w:val="Document"/>
      </w:pPr>
      <w:r w:rsidRPr="0004402C">
        <w:t>GitHub makes user activity available that allows developers to draw social inferences about both coding projects as well as individuals.</w:t>
      </w:r>
      <w:r w:rsidRPr="00FB2412">
        <w:rPr>
          <w:rStyle w:val="FootnoteReference"/>
        </w:rPr>
        <w:footnoteReference w:id="55"/>
      </w:r>
      <w:r w:rsidRPr="0004402C">
        <w:t xml:space="preserve"> These inferences inform strategies for collaborating, furthering technical skills, and building their reputations as developers.</w:t>
      </w:r>
      <w:r w:rsidRPr="00FB2412">
        <w:rPr>
          <w:rStyle w:val="FootnoteReference"/>
        </w:rPr>
        <w:footnoteReference w:id="56"/>
      </w:r>
      <w:r w:rsidRPr="0004402C">
        <w:t xml:space="preserve"> GitHub activity feeds affect user perceptions of developer skill, community interest in a project, and contribution </w:t>
      </w:r>
      <w:r w:rsidRPr="0004402C">
        <w:lastRenderedPageBreak/>
        <w:t>opportunities.</w:t>
      </w:r>
      <w:r w:rsidRPr="00FB2412">
        <w:rPr>
          <w:rStyle w:val="FootnoteReference"/>
        </w:rPr>
        <w:footnoteReference w:id="57"/>
      </w:r>
      <w:r w:rsidRPr="0004402C">
        <w:t xml:space="preserve"> When managing projects, developers use activity feeds in project management decisions such as recruiting other users to work on projects, determining the needs of those using their projects, and accepting modifications to their code from outside contributors.</w:t>
      </w:r>
      <w:r w:rsidRPr="00FB2412">
        <w:rPr>
          <w:rStyle w:val="FootnoteReference"/>
        </w:rPr>
        <w:footnoteReference w:id="58"/>
      </w:r>
      <w:r w:rsidRPr="0004402C">
        <w:t xml:space="preserve"> Results from an experiment analyzing this network structure of GitHub suggest that this encouragement of social coding, as well as the platform’s basis in a distributed version control system, enables more collaboration among developers.</w:t>
      </w:r>
      <w:r w:rsidRPr="00FB2412">
        <w:rPr>
          <w:rStyle w:val="FootnoteReference"/>
        </w:rPr>
        <w:footnoteReference w:id="59"/>
      </w:r>
    </w:p>
    <w:p w14:paraId="026E1FE6" w14:textId="55CA70CD" w:rsidR="0004402C" w:rsidRPr="0004402C" w:rsidRDefault="0004402C" w:rsidP="00CD38E6">
      <w:pPr>
        <w:pStyle w:val="Document"/>
      </w:pPr>
      <w:r w:rsidRPr="0004402C">
        <w:t>However, not all open source developers use a web-based VCS hosting platform. Similarly to CVCSs, one major disadvantage is that there is a single point of failure. If the platform is subject to a cyber</w:t>
      </w:r>
      <w:r w:rsidR="00780442">
        <w:t>-</w:t>
      </w:r>
      <w:r w:rsidRPr="0004402C">
        <w:t>attack, the development process will be affected. For example, if a distributed denial-of-service (DDoS) attack disrupts the services of the hosting platform, developers will not be able to collaborate and sync changes using the platform.</w:t>
      </w:r>
      <w:r w:rsidRPr="00FB2412">
        <w:rPr>
          <w:rStyle w:val="FootnoteReference"/>
        </w:rPr>
        <w:footnoteReference w:id="60"/>
      </w:r>
      <w:r w:rsidRPr="0004402C">
        <w:t xml:space="preserve"> Bad actors can also use platforms to insert malware into other users’ projects, such as by creating fake repositories, inserting malware, then pushing clones of legitimate repositories back to the platform.</w:t>
      </w:r>
      <w:r w:rsidRPr="00FB2412">
        <w:rPr>
          <w:rStyle w:val="FootnoteReference"/>
        </w:rPr>
        <w:footnoteReference w:id="61"/>
      </w:r>
    </w:p>
    <w:p w14:paraId="7185E1E2" w14:textId="13CB89B2" w:rsidR="0004402C" w:rsidRPr="0004402C" w:rsidRDefault="0004402C" w:rsidP="002017D0">
      <w:pPr>
        <w:pStyle w:val="Document"/>
      </w:pPr>
      <w:r w:rsidRPr="0004402C">
        <w:t xml:space="preserve">Hosting code on a particular platform may also conflict with the </w:t>
      </w:r>
      <w:r w:rsidRPr="4B774E0D">
        <w:rPr>
          <w:i/>
          <w:iCs/>
        </w:rPr>
        <w:t>ideology</w:t>
      </w:r>
      <w:r w:rsidRPr="0004402C">
        <w:t xml:space="preserve"> of open source: if open source is about </w:t>
      </w:r>
      <w:r w:rsidRPr="4B774E0D">
        <w:rPr>
          <w:i/>
          <w:iCs/>
        </w:rPr>
        <w:t>freeing</w:t>
      </w:r>
      <w:r w:rsidRPr="0004402C">
        <w:t xml:space="preserve"> code, many open source developers want to retain the freedom to publish and collaborate on code anywhere, not just on one platform.</w:t>
      </w:r>
      <w:r w:rsidRPr="00FB2412">
        <w:rPr>
          <w:rStyle w:val="FootnoteReference"/>
        </w:rPr>
        <w:footnoteReference w:id="62"/>
      </w:r>
      <w:r w:rsidRPr="0004402C">
        <w:t xml:space="preserve"> GitHub, in particular, draws ire from open source developers because the platform itself is proprietary and not open source.</w:t>
      </w:r>
      <w:r w:rsidRPr="00FB2412">
        <w:rPr>
          <w:rStyle w:val="FootnoteReference"/>
        </w:rPr>
        <w:footnoteReference w:id="63"/>
      </w:r>
      <w:r w:rsidRPr="0004402C">
        <w:t xml:space="preserve"> These criticisms reveal that VCS hosting platforms must be concerned with not only providing a space for their users to communicate and collaborate, but also with the values of the specific community that relies on the platforms’ services.</w:t>
      </w:r>
    </w:p>
    <w:p w14:paraId="38379FE0" w14:textId="5F812372" w:rsidR="0004402C" w:rsidRPr="00B440EF" w:rsidRDefault="0004402C" w:rsidP="00C52CB4">
      <w:pPr>
        <w:pStyle w:val="SubHead2"/>
        <w:numPr>
          <w:ilvl w:val="0"/>
          <w:numId w:val="5"/>
        </w:numPr>
      </w:pPr>
      <w:bookmarkStart w:id="12" w:name="_Toc180790103"/>
      <w:bookmarkStart w:id="13" w:name="_Toc188103308"/>
      <w:r w:rsidRPr="00B440EF">
        <w:lastRenderedPageBreak/>
        <w:t>Open Source Developer Demographics</w:t>
      </w:r>
      <w:bookmarkEnd w:id="12"/>
      <w:bookmarkEnd w:id="13"/>
    </w:p>
    <w:p w14:paraId="25F0D322" w14:textId="77777777" w:rsidR="002017D0" w:rsidRDefault="0004402C" w:rsidP="002017D0">
      <w:pPr>
        <w:pStyle w:val="Document"/>
      </w:pPr>
      <w:r w:rsidRPr="0004402C">
        <w:t>Given that VCS hosting platforms enable social coding, what do these social interactions look like and what are the demographics of the people participating in these social interactions?</w:t>
      </w:r>
    </w:p>
    <w:p w14:paraId="1FDB0981" w14:textId="77777777" w:rsidR="0004402C" w:rsidRPr="0004402C" w:rsidRDefault="0004402C" w:rsidP="002017D0">
      <w:pPr>
        <w:pStyle w:val="Document"/>
      </w:pPr>
      <w:r w:rsidRPr="0004402C">
        <w:t xml:space="preserve">While one of open source’s main tenets is openness, the open source community is not as open as one might think. The Linux Foundation’s 2021 Open Source Diversity, Equity, and Inclusion Survey found that, in terms of the community itself, the vast majority of open source contributors are men (82%), with only </w:t>
      </w:r>
      <w:r w:rsidRPr="0004402C" w:rsidDel="0050171D">
        <w:t>14</w:t>
      </w:r>
      <w:r w:rsidRPr="0004402C">
        <w:t>%</w:t>
      </w:r>
      <w:r w:rsidRPr="0004402C" w:rsidDel="0050171D">
        <w:t xml:space="preserve"> </w:t>
      </w:r>
      <w:r w:rsidRPr="0004402C">
        <w:t>of respondents identifying as women and 4%</w:t>
      </w:r>
      <w:r w:rsidRPr="0004402C" w:rsidDel="0050171D">
        <w:t xml:space="preserve"> </w:t>
      </w:r>
      <w:r w:rsidRPr="0004402C">
        <w:t>as non-binary or another gender.</w:t>
      </w:r>
      <w:r w:rsidRPr="00FB2412">
        <w:rPr>
          <w:rStyle w:val="FootnoteReference"/>
        </w:rPr>
        <w:footnoteReference w:id="64"/>
      </w:r>
      <w:r w:rsidRPr="0004402C">
        <w:t xml:space="preserve"> Within individual projects, a 2015 study analyzing the social diversity of GitHub teams found that gender diversity is lacking, with 75.3% of projects having no gender diversity at all (1% of these projects were all-women projects, while the rest were all-men).</w:t>
      </w:r>
      <w:r w:rsidRPr="00FB2412">
        <w:rPr>
          <w:rStyle w:val="FootnoteReference"/>
        </w:rPr>
        <w:footnoteReference w:id="65"/>
      </w:r>
      <w:r w:rsidRPr="0004402C">
        <w:t xml:space="preserve"> The Linux survey found that “gender is a primary determinant” for exclusion in open source, with “[w]omen and transgender people of any gender [being] far more likely to experience exclusionary behaviors like stereotyping, aggressive language, lack of response to or rejection of contribution, and unwanted sexual comments.”</w:t>
      </w:r>
      <w:r w:rsidRPr="00FB2412">
        <w:rPr>
          <w:rStyle w:val="FootnoteReference"/>
        </w:rPr>
        <w:footnoteReference w:id="66"/>
      </w:r>
      <w:r w:rsidRPr="0004402C">
        <w:t xml:space="preserve"> A 2019 study found that women in computing organizations were often assigned non-coding related tasks—like documentation, data labeling, and manual testing—and excluded from management opportunities.</w:t>
      </w:r>
      <w:r w:rsidRPr="00FB2412">
        <w:rPr>
          <w:rStyle w:val="FootnoteReference"/>
        </w:rPr>
        <w:footnoteReference w:id="67"/>
      </w:r>
      <w:r w:rsidRPr="0004402C">
        <w:t xml:space="preserve"> Another study of GitHub pull requests found that women’s pull requests were accepted more often than men’s (78.7% vs. 74.6%), but when gender was identifiable, the acceptance rate of women’s pull requests dropped to 58%.</w:t>
      </w:r>
      <w:r w:rsidRPr="00FB2412">
        <w:rPr>
          <w:rStyle w:val="FootnoteReference"/>
        </w:rPr>
        <w:footnoteReference w:id="68"/>
      </w:r>
      <w:r w:rsidRPr="0004402C">
        <w:t xml:space="preserve"> This greater likelihood of exclusionary behavior is also seen for minority sexuality groups.</w:t>
      </w:r>
      <w:r w:rsidRPr="00FB2412">
        <w:rPr>
          <w:rStyle w:val="FootnoteReference"/>
        </w:rPr>
        <w:footnoteReference w:id="69"/>
      </w:r>
      <w:r w:rsidRPr="0004402C">
        <w:t xml:space="preserve"> Racial minorities also face exclusion in open source</w:t>
      </w:r>
      <w:r w:rsidR="00FA452D">
        <w:t>.</w:t>
      </w:r>
      <w:r w:rsidRPr="0004402C">
        <w:t xml:space="preserve"> </w:t>
      </w:r>
      <w:r w:rsidR="00440B8D">
        <w:t xml:space="preserve">For example, </w:t>
      </w:r>
      <w:r w:rsidRPr="0004402C">
        <w:t xml:space="preserve">Latinx, Black, and Indigenous groups </w:t>
      </w:r>
      <w:r w:rsidR="00FA452D">
        <w:t xml:space="preserve">are </w:t>
      </w:r>
      <w:r w:rsidRPr="0004402C">
        <w:t>less likely to agree that there is equal opportunity for people from different backgrounds to participate in open source.</w:t>
      </w:r>
      <w:r w:rsidRPr="00FB2412">
        <w:rPr>
          <w:rStyle w:val="FootnoteReference"/>
        </w:rPr>
        <w:footnoteReference w:id="70"/>
      </w:r>
    </w:p>
    <w:p w14:paraId="501526F2" w14:textId="5683EF5A" w:rsidR="0004402C" w:rsidRPr="0004402C" w:rsidRDefault="0004402C" w:rsidP="00CD38E6">
      <w:pPr>
        <w:pStyle w:val="Document"/>
      </w:pPr>
      <w:r w:rsidRPr="0004402C">
        <w:lastRenderedPageBreak/>
        <w:t>Several non-open-source-related factors affect people’s interactions with one another within open source. The political polarization of social justice issues can exacerbate exclusionary behaviors.</w:t>
      </w:r>
      <w:r w:rsidRPr="00FB2412">
        <w:rPr>
          <w:rStyle w:val="FootnoteReference"/>
        </w:rPr>
        <w:footnoteReference w:id="71"/>
      </w:r>
      <w:r w:rsidRPr="0004402C">
        <w:t xml:space="preserve"> Social media enables harassment at vast scale and speed, which impacts the way in which open source contributors (especially women) assess risk in gaining recognition in open source communities.</w:t>
      </w:r>
      <w:r w:rsidRPr="00FB2412">
        <w:rPr>
          <w:rStyle w:val="FootnoteReference"/>
        </w:rPr>
        <w:footnoteReference w:id="72"/>
      </w:r>
      <w:r w:rsidRPr="0004402C">
        <w:t xml:space="preserve"> The rise of digital networks has also increased tensions with open source and content moderation: although open source communities have always had some form of content moderation, the large number of open source projects and inconsistent terms of moderation across those projects means there is no one “open source standard” for content moderation.</w:t>
      </w:r>
      <w:r w:rsidRPr="00FB2412">
        <w:rPr>
          <w:rStyle w:val="FootnoteReference"/>
        </w:rPr>
        <w:footnoteReference w:id="73"/>
      </w:r>
    </w:p>
    <w:p w14:paraId="5A49CCE3" w14:textId="01F5DC68" w:rsidR="0004402C" w:rsidRPr="0004402C" w:rsidRDefault="0004402C" w:rsidP="00CD38E6">
      <w:pPr>
        <w:pStyle w:val="Document"/>
      </w:pPr>
      <w:r w:rsidRPr="0004402C">
        <w:t>Although there are many cultural issues to tackle in open source more broadly, the thousands of open source projects around the world each have their own working environments</w:t>
      </w:r>
      <w:r w:rsidR="002D4F1C">
        <w:t>.</w:t>
      </w:r>
      <w:r w:rsidRPr="0004402C">
        <w:t xml:space="preserve"> </w:t>
      </w:r>
      <w:r w:rsidR="002D4F1C">
        <w:t>E</w:t>
      </w:r>
      <w:r w:rsidRPr="0004402C">
        <w:t>ach community sets its own standards, and many communities have adopted codes of conduct to better manage behavioral expectations.</w:t>
      </w:r>
      <w:r w:rsidRPr="00FB2412">
        <w:rPr>
          <w:rStyle w:val="FootnoteReference"/>
        </w:rPr>
        <w:footnoteReference w:id="74"/>
      </w:r>
      <w:r w:rsidRPr="0004402C">
        <w:t xml:space="preserve"> Not all open source projects may suffer from exclusionary behavior. Furthermore, large organizations that participate in and enable open source recognize these cultural problems and are creating initiatives to address these concerns. GitHub, for instance, launched its “All In” program in 2021.</w:t>
      </w:r>
      <w:r w:rsidRPr="00FB2412">
        <w:rPr>
          <w:rStyle w:val="FootnoteReference"/>
        </w:rPr>
        <w:footnoteReference w:id="75"/>
      </w:r>
      <w:r w:rsidRPr="0004402C">
        <w:t xml:space="preserve"> The program aims to “create a more inclusive open source community for developers everywhere” by focusing efforts on lowering barriers to those from underrepresented backgrounds who wish to participate; </w:t>
      </w:r>
      <w:r w:rsidR="00673061">
        <w:t xml:space="preserve">encouraging </w:t>
      </w:r>
      <w:r w:rsidRPr="0004402C">
        <w:t>maintainers</w:t>
      </w:r>
      <w:r w:rsidR="008603EA">
        <w:rPr>
          <w:rStyle w:val="FootnoteReference"/>
        </w:rPr>
        <w:footnoteReference w:id="76"/>
      </w:r>
      <w:r w:rsidR="00234430">
        <w:t xml:space="preserve"> </w:t>
      </w:r>
      <w:r w:rsidRPr="0004402C">
        <w:t>to support efforts to advance diversity, equity, and inclusion</w:t>
      </w:r>
      <w:r w:rsidR="00673061">
        <w:t xml:space="preserve">, </w:t>
      </w:r>
      <w:r w:rsidR="00234430">
        <w:t>as</w:t>
      </w:r>
      <w:r w:rsidR="00673061">
        <w:t xml:space="preserve"> maint</w:t>
      </w:r>
      <w:r w:rsidR="00E46005">
        <w:t xml:space="preserve">ainers </w:t>
      </w:r>
      <w:r w:rsidR="004C2E00">
        <w:t>are often res</w:t>
      </w:r>
      <w:r w:rsidR="00234430">
        <w:t>p</w:t>
      </w:r>
      <w:r w:rsidR="004C2E00">
        <w:t xml:space="preserve">onsible for </w:t>
      </w:r>
      <w:r w:rsidR="002B2E22">
        <w:t>their</w:t>
      </w:r>
      <w:r w:rsidR="004C2E00">
        <w:t xml:space="preserve"> community’s culture</w:t>
      </w:r>
      <w:r w:rsidRPr="0004402C">
        <w:t>; providing direct financial support to support underrepresented maintainers and projects that serve under-resourced communities; and providing data with which to drive open source inclusion decisions, such as partnering with the Linux Foundation on its aforementioned 2021 survey.</w:t>
      </w:r>
      <w:r w:rsidRPr="00FB2412">
        <w:rPr>
          <w:rStyle w:val="FootnoteReference"/>
        </w:rPr>
        <w:footnoteReference w:id="77"/>
      </w:r>
    </w:p>
    <w:p w14:paraId="5C45F582" w14:textId="055539FF" w:rsidR="0004402C" w:rsidRPr="0004402C" w:rsidRDefault="0004402C" w:rsidP="00C52CB4">
      <w:pPr>
        <w:pStyle w:val="SubHead2"/>
        <w:numPr>
          <w:ilvl w:val="0"/>
          <w:numId w:val="5"/>
        </w:numPr>
      </w:pPr>
      <w:bookmarkStart w:id="14" w:name="_Toc180790104"/>
      <w:bookmarkStart w:id="15" w:name="_Toc188103309"/>
      <w:r w:rsidRPr="0004402C">
        <w:lastRenderedPageBreak/>
        <w:t>Social Norms of Open Source</w:t>
      </w:r>
      <w:bookmarkEnd w:id="14"/>
      <w:bookmarkEnd w:id="15"/>
    </w:p>
    <w:p w14:paraId="2E30B5B2" w14:textId="1DB74C9A" w:rsidR="002017D0" w:rsidRDefault="0004402C" w:rsidP="002017D0">
      <w:pPr>
        <w:pStyle w:val="Document"/>
      </w:pPr>
      <w:r w:rsidRPr="0004402C">
        <w:t>Setting aside demographic issues, how do those participating in open source production interact with one another to create a cohesive piece of software? A characteristic feature of open source production is that each contributor defines their own tasks that must be integrated into a common product.</w:t>
      </w:r>
      <w:r w:rsidRPr="00FB2412">
        <w:rPr>
          <w:rStyle w:val="FootnoteReference"/>
        </w:rPr>
        <w:footnoteReference w:id="78"/>
      </w:r>
      <w:r w:rsidRPr="0004402C">
        <w:t xml:space="preserve"> Each contributor—whether </w:t>
      </w:r>
      <w:r w:rsidR="00B440EF">
        <w:t xml:space="preserve">they are </w:t>
      </w:r>
      <w:r w:rsidRPr="0004402C">
        <w:t xml:space="preserve">contributing code, testing existing code and reporting bugs, writing documentation, etc.—perceives what needs to be done and adjusts their tasks based on the source code and corollary information (such as bug reports, to-do issues, </w:t>
      </w:r>
      <w:r w:rsidR="00AD68B2">
        <w:t xml:space="preserve">and </w:t>
      </w:r>
      <w:r w:rsidRPr="0004402C">
        <w:t>documentation).</w:t>
      </w:r>
      <w:r w:rsidRPr="00FB2412">
        <w:rPr>
          <w:rStyle w:val="FootnoteReference"/>
        </w:rPr>
        <w:footnoteReference w:id="79"/>
      </w:r>
      <w:r w:rsidRPr="0004402C">
        <w:t xml:space="preserve"> Thus, in order for </w:t>
      </w:r>
      <w:r w:rsidR="00632860">
        <w:t xml:space="preserve">independent </w:t>
      </w:r>
      <w:r w:rsidRPr="0004402C">
        <w:t>contributors to organize themselves in a decentralized manner, open source projects typically must start with a substantial push of code.</w:t>
      </w:r>
      <w:r w:rsidRPr="00FB2412">
        <w:rPr>
          <w:rStyle w:val="FootnoteReference"/>
        </w:rPr>
        <w:footnoteReference w:id="80"/>
      </w:r>
      <w:r w:rsidRPr="0004402C">
        <w:t xml:space="preserve"> A project may also have standards and guidelines for contributions,</w:t>
      </w:r>
      <w:r w:rsidRPr="00FB2412">
        <w:rPr>
          <w:rStyle w:val="FootnoteReference"/>
        </w:rPr>
        <w:footnoteReference w:id="81"/>
      </w:r>
      <w:r w:rsidRPr="0004402C">
        <w:t xml:space="preserve"> such as standardized protocols for pushing code and formatting guidelines for code, pull requests, </w:t>
      </w:r>
      <w:r w:rsidR="00954831">
        <w:t xml:space="preserve">and </w:t>
      </w:r>
      <w:r w:rsidRPr="0004402C">
        <w:t>commit messages.</w:t>
      </w:r>
    </w:p>
    <w:p w14:paraId="0E63A926" w14:textId="77777777" w:rsidR="0004402C" w:rsidRPr="0004402C" w:rsidRDefault="0004402C" w:rsidP="00CD38E6">
      <w:pPr>
        <w:pStyle w:val="Document"/>
      </w:pPr>
      <w:r w:rsidRPr="0004402C">
        <w:t>Contributions to open source projects are integrated and maintained through two mechanisms: first, there is a peer review procedure where authorized contributors analyze a submission of new changes and decide whether it should be incorporated into the project; second, users of the project are constantly testing the new additions in a variety of contexts, so if problems arise, bugs are reported and addressed, further contributing to the production of the project.</w:t>
      </w:r>
      <w:r w:rsidRPr="00FB2412">
        <w:rPr>
          <w:rStyle w:val="FootnoteReference"/>
        </w:rPr>
        <w:footnoteReference w:id="82"/>
      </w:r>
    </w:p>
    <w:p w14:paraId="6350F912" w14:textId="77777777" w:rsidR="0004402C" w:rsidRPr="0004402C" w:rsidRDefault="00AD68B2" w:rsidP="00CD38E6">
      <w:pPr>
        <w:pStyle w:val="Document"/>
      </w:pPr>
      <w:r>
        <w:t xml:space="preserve">Because </w:t>
      </w:r>
      <w:r w:rsidR="0004402C" w:rsidRPr="0004402C">
        <w:t>there are a variety of ways to contribute to an open source project</w:t>
      </w:r>
      <w:r>
        <w:t>,</w:t>
      </w:r>
      <w:r w:rsidR="0004402C" w:rsidRPr="0004402C">
        <w:t xml:space="preserve"> </w:t>
      </w:r>
      <w:r>
        <w:t>c</w:t>
      </w:r>
      <w:r w:rsidR="0004402C" w:rsidRPr="0004402C">
        <w:t>ontribution and membership in an open source community are difficult to define externally</w:t>
      </w:r>
      <w:r w:rsidR="007777A4">
        <w:t>.</w:t>
      </w:r>
      <w:r w:rsidR="003F7AD8">
        <w:t xml:space="preserve"> </w:t>
      </w:r>
      <w:r w:rsidR="007777A4">
        <w:t>W</w:t>
      </w:r>
      <w:r w:rsidR="0004402C" w:rsidRPr="0004402C">
        <w:t>hat if someone tests code, but finds no bugs and thus has nothing to report? What if someone submits code, but that code is not accepted? Due to these difficulties, individuals often self-select into membership in an open source community: if that individual perceives themselves as a contributor, then they are a member of the project’s community.</w:t>
      </w:r>
      <w:r w:rsidR="0004402C" w:rsidRPr="00FB2412">
        <w:rPr>
          <w:rStyle w:val="FootnoteReference"/>
        </w:rPr>
        <w:footnoteReference w:id="83"/>
      </w:r>
      <w:r w:rsidR="0004402C" w:rsidRPr="0004402C">
        <w:t xml:space="preserve"> A major formal distinction between the contributors to an open source project are </w:t>
      </w:r>
      <w:r w:rsidR="005E510D">
        <w:t>maintainers</w:t>
      </w:r>
      <w:r w:rsidR="009B0673">
        <w:t xml:space="preserve">, </w:t>
      </w:r>
      <w:r w:rsidR="0004402C" w:rsidRPr="0004402C">
        <w:t>those who are authorized to change the code and release versions of the software</w:t>
      </w:r>
      <w:r w:rsidR="009B0673">
        <w:t xml:space="preserve">, </w:t>
      </w:r>
      <w:r w:rsidR="0004402C" w:rsidRPr="0004402C">
        <w:t>versus other contributors</w:t>
      </w:r>
      <w:r w:rsidR="009B0673">
        <w:t xml:space="preserve">, </w:t>
      </w:r>
      <w:r w:rsidR="009B0673">
        <w:lastRenderedPageBreak/>
        <w:t xml:space="preserve">those </w:t>
      </w:r>
      <w:r w:rsidR="0004402C" w:rsidRPr="0004402C">
        <w:t>who may propose changes but are not themselves able to directly integrate their changes into the software.</w:t>
      </w:r>
      <w:r w:rsidR="0004402C" w:rsidRPr="00FB2412">
        <w:rPr>
          <w:rStyle w:val="FootnoteReference"/>
        </w:rPr>
        <w:footnoteReference w:id="84"/>
      </w:r>
      <w:r w:rsidR="0004402C" w:rsidRPr="0004402C">
        <w:t xml:space="preserve"> One can also be a passive user of an open source project—someone who observes the production process and downloads and uses the software—without contributing.</w:t>
      </w:r>
      <w:r w:rsidR="0004402C" w:rsidRPr="00FB2412">
        <w:rPr>
          <w:rStyle w:val="FootnoteReference"/>
        </w:rPr>
        <w:footnoteReference w:id="85"/>
      </w:r>
      <w:r w:rsidR="0004402C" w:rsidRPr="0004402C">
        <w:t xml:space="preserve"> It is easy for an individual’s membership in an open source community to change, and it is common for a very small number of members to make a majority of contributions to an open source project.</w:t>
      </w:r>
      <w:r w:rsidR="0004402C" w:rsidRPr="00FB2412">
        <w:rPr>
          <w:rStyle w:val="FootnoteReference"/>
        </w:rPr>
        <w:footnoteReference w:id="86"/>
      </w:r>
    </w:p>
    <w:p w14:paraId="35B549C4" w14:textId="7C5EFE5C" w:rsidR="0004402C" w:rsidRPr="0004402C" w:rsidRDefault="0004402C" w:rsidP="00CD38E6">
      <w:pPr>
        <w:pStyle w:val="Document"/>
      </w:pPr>
      <w:r w:rsidRPr="0004402C">
        <w:t>Membership and contribution are not solely by someone’s choice but can also be affected by</w:t>
      </w:r>
      <w:r w:rsidR="009B0673">
        <w:t xml:space="preserve"> </w:t>
      </w:r>
      <w:r w:rsidR="00DD3E76">
        <w:t xml:space="preserve">factors like </w:t>
      </w:r>
      <w:r w:rsidRPr="0004402C">
        <w:t xml:space="preserve">one’s economic status. There is a disconnect between contributing to an open source project and being compensated for that work, at least financially. Contributors are typically </w:t>
      </w:r>
      <w:r>
        <w:t xml:space="preserve">not </w:t>
      </w:r>
      <w:r w:rsidRPr="0004402C">
        <w:t>paid for their work, and even if they are paid for participating in the production process, that payment is generally not tied to a specific contribution.</w:t>
      </w:r>
      <w:r w:rsidRPr="00FB2412">
        <w:rPr>
          <w:rStyle w:val="FootnoteReference"/>
        </w:rPr>
        <w:footnoteReference w:id="87"/>
      </w:r>
      <w:r w:rsidRPr="0004402C">
        <w:t xml:space="preserve"> Instead, contributing to an open source project “rewards” developers with reputational gains in their community.</w:t>
      </w:r>
      <w:r w:rsidRPr="00FB2412">
        <w:rPr>
          <w:rStyle w:val="FootnoteReference"/>
        </w:rPr>
        <w:footnoteReference w:id="88"/>
      </w:r>
    </w:p>
    <w:p w14:paraId="06DBB581" w14:textId="2DDD869D" w:rsidR="0004402C" w:rsidRPr="0004402C" w:rsidRDefault="0004402C" w:rsidP="005F79E6">
      <w:pPr>
        <w:pStyle w:val="SubHead1"/>
        <w:numPr>
          <w:ilvl w:val="0"/>
          <w:numId w:val="3"/>
        </w:numPr>
      </w:pPr>
      <w:bookmarkStart w:id="16" w:name="_Toc180790105"/>
      <w:bookmarkStart w:id="17" w:name="_Toc188103310"/>
      <w:r w:rsidRPr="0004402C">
        <w:t>Organization of Version Control System Hosting Platforms</w:t>
      </w:r>
      <w:bookmarkEnd w:id="16"/>
      <w:bookmarkEnd w:id="17"/>
    </w:p>
    <w:p w14:paraId="35CECC69" w14:textId="77777777" w:rsidR="0004402C" w:rsidRPr="0004402C" w:rsidRDefault="0004402C" w:rsidP="00CD38E6">
      <w:pPr>
        <w:pStyle w:val="Document"/>
      </w:pPr>
      <w:r w:rsidRPr="0004402C">
        <w:t>With this discussion of who is interacting in open source communities and what those interactions can look like, it is helpful to understand how these communities are organized.</w:t>
      </w:r>
    </w:p>
    <w:p w14:paraId="5984BAF9" w14:textId="6107F6DA" w:rsidR="0004402C" w:rsidRPr="00B440EF" w:rsidRDefault="0004402C" w:rsidP="005F79E6">
      <w:pPr>
        <w:pStyle w:val="SubHead2"/>
        <w:numPr>
          <w:ilvl w:val="0"/>
          <w:numId w:val="6"/>
        </w:numPr>
      </w:pPr>
      <w:bookmarkStart w:id="18" w:name="_Toc180790106"/>
      <w:bookmarkStart w:id="19" w:name="_Toc188103311"/>
      <w:r w:rsidRPr="00B440EF">
        <w:t>Types of GitHub Repositories</w:t>
      </w:r>
      <w:bookmarkEnd w:id="18"/>
      <w:bookmarkEnd w:id="19"/>
    </w:p>
    <w:p w14:paraId="4ED5E1C7" w14:textId="77777777" w:rsidR="0004402C" w:rsidRPr="0004402C" w:rsidRDefault="0004402C" w:rsidP="002017D0">
      <w:pPr>
        <w:pStyle w:val="Document"/>
      </w:pPr>
      <w:r w:rsidRPr="0004402C">
        <w:t>As previously mentioned, GitHub operates on a freemium model. In the “Free” tier, users have unlimited public and private repositories, though private repositories are limited to three contributors.</w:t>
      </w:r>
      <w:r w:rsidRPr="00FB2412">
        <w:rPr>
          <w:rStyle w:val="FootnoteReference"/>
        </w:rPr>
        <w:footnoteReference w:id="89"/>
      </w:r>
      <w:r w:rsidRPr="0004402C">
        <w:t xml:space="preserve"> When a repository is “public,” it means that anyone can see the code and other files in the repository, clone the repository, and use the code.</w:t>
      </w:r>
      <w:r w:rsidRPr="00FB2412">
        <w:rPr>
          <w:rStyle w:val="FootnoteReference"/>
        </w:rPr>
        <w:footnoteReference w:id="90"/>
      </w:r>
      <w:r w:rsidRPr="0004402C">
        <w:t xml:space="preserve"> Conversely, when a repository is “private,” only those with access are able to see, use, and contribute to the code. Developers often use private repositories when they are working on personal projects (such as a group project for school), on secret projects (such as developing a product for a new software startup), or </w:t>
      </w:r>
      <w:r w:rsidRPr="0004402C">
        <w:lastRenderedPageBreak/>
        <w:t>with proprietary and confidential code (such as developing for a company)</w:t>
      </w:r>
      <w:r w:rsidR="00C01C42">
        <w:t>.</w:t>
      </w:r>
      <w:r w:rsidR="00D34288">
        <w:t xml:space="preserve"> Private repositories</w:t>
      </w:r>
      <w:r w:rsidR="00C01C42">
        <w:t xml:space="preserve"> allow developers to keep projects </w:t>
      </w:r>
      <w:r w:rsidR="00D34288">
        <w:t>inaccessible to the broader public</w:t>
      </w:r>
      <w:r w:rsidR="00C01C42">
        <w:t xml:space="preserve"> while </w:t>
      </w:r>
      <w:r w:rsidRPr="0004402C">
        <w:t>still collaborat</w:t>
      </w:r>
      <w:r w:rsidR="00C01C42">
        <w:t>ing</w:t>
      </w:r>
      <w:r w:rsidRPr="0004402C">
        <w:t xml:space="preserve"> with others </w:t>
      </w:r>
      <w:r w:rsidR="00C01C42">
        <w:t>and</w:t>
      </w:r>
      <w:r w:rsidRPr="0004402C">
        <w:t xml:space="preserve"> track</w:t>
      </w:r>
      <w:r w:rsidR="009973FF">
        <w:t>ing</w:t>
      </w:r>
      <w:r w:rsidRPr="0004402C">
        <w:t xml:space="preserve"> their changes with a user-friendly VCS platform.</w:t>
      </w:r>
      <w:r w:rsidRPr="00FB2412">
        <w:rPr>
          <w:rStyle w:val="FootnoteReference"/>
        </w:rPr>
        <w:footnoteReference w:id="91"/>
      </w:r>
      <w:r w:rsidRPr="0004402C">
        <w:t xml:space="preserve"> The “Free” tier also includes automatic security and version updates, a limited amount of CI/CD and software packages storage, issues and project management functionality, and community support forums.</w:t>
      </w:r>
      <w:r w:rsidRPr="00FB2412">
        <w:rPr>
          <w:rStyle w:val="FootnoteReference"/>
        </w:rPr>
        <w:footnoteReference w:id="92"/>
      </w:r>
    </w:p>
    <w:p w14:paraId="180ADAB3" w14:textId="77777777" w:rsidR="0004402C" w:rsidRPr="0004402C" w:rsidRDefault="0004402C" w:rsidP="00CD38E6">
      <w:pPr>
        <w:pStyle w:val="Document"/>
      </w:pPr>
      <w:r w:rsidRPr="0004402C">
        <w:t>The “Team” paid tier of GitHub offers everything in the “Free” tier, plus additional features for developers who need more advanced functionality</w:t>
      </w:r>
      <w:r>
        <w:t>.</w:t>
      </w:r>
      <w:r w:rsidRPr="0004402C">
        <w:t xml:space="preserve"> </w:t>
      </w:r>
      <w:r>
        <w:t>O</w:t>
      </w:r>
      <w:r w:rsidRPr="0004402C">
        <w:t>ne important feature of this tier is the ability to enforce restrictions on how code branches are merged, such as by requiring code reviews from certain people, allowing only specified developers to contribute to a particular branch, and requiring a certain number of approvals before code is merged.</w:t>
      </w:r>
      <w:r w:rsidRPr="00FB2412">
        <w:rPr>
          <w:rStyle w:val="FootnoteReference"/>
        </w:rPr>
        <w:footnoteReference w:id="93"/>
      </w:r>
      <w:r w:rsidRPr="0004402C">
        <w:t xml:space="preserve"> This tier also allows collaboration on a pull request before changes get submitted for review, allows documentation to be presented in a wiki format, and provides access to GitHub Support.</w:t>
      </w:r>
      <w:r w:rsidRPr="00FB2412">
        <w:rPr>
          <w:rStyle w:val="FootnoteReference"/>
        </w:rPr>
        <w:footnoteReference w:id="94"/>
      </w:r>
    </w:p>
    <w:p w14:paraId="4F4B2DDA" w14:textId="22B1BF76" w:rsidR="0004402C" w:rsidRPr="0004402C" w:rsidRDefault="0004402C" w:rsidP="00CD38E6">
      <w:pPr>
        <w:pStyle w:val="Document"/>
      </w:pPr>
      <w:r w:rsidRPr="0004402C">
        <w:t>Finally, GitHub “Enterprise” allows companies to use GitHub separate from the rest of GitHub.com. GitHub Enterprise gives employees access to GitHub’s interface and functionality while keeping the company’s code and data secure on the company’s servers such that GitHub users, and even GitHub itself, do not have access to that proprietary code.</w:t>
      </w:r>
      <w:r w:rsidRPr="00FB2412">
        <w:rPr>
          <w:rStyle w:val="FootnoteReference"/>
        </w:rPr>
        <w:footnoteReference w:id="95"/>
      </w:r>
      <w:r w:rsidRPr="0004402C">
        <w:t xml:space="preserve"> GitHub Enterprise offers everything from the Free and Team tiers, as well as advanced security, auditing, and monitoring features, including control over individual user accounts.</w:t>
      </w:r>
      <w:r w:rsidRPr="00FB2412">
        <w:rPr>
          <w:rStyle w:val="FootnoteReference"/>
        </w:rPr>
        <w:footnoteReference w:id="96"/>
      </w:r>
    </w:p>
    <w:p w14:paraId="122AF5B7" w14:textId="52A93F0B" w:rsidR="0004402C" w:rsidRPr="00B440EF" w:rsidRDefault="0004402C" w:rsidP="005F79E6">
      <w:pPr>
        <w:pStyle w:val="SubHead2"/>
        <w:numPr>
          <w:ilvl w:val="0"/>
          <w:numId w:val="6"/>
        </w:numPr>
      </w:pPr>
      <w:bookmarkStart w:id="20" w:name="_Toc180790107"/>
      <w:bookmarkStart w:id="21" w:name="_Toc188103312"/>
      <w:r w:rsidRPr="00B440EF">
        <w:t>Industry Governance of Open Source</w:t>
      </w:r>
      <w:bookmarkEnd w:id="20"/>
      <w:bookmarkEnd w:id="21"/>
    </w:p>
    <w:p w14:paraId="7C7962CA" w14:textId="77777777" w:rsidR="0004402C" w:rsidRPr="0004402C" w:rsidRDefault="0004402C" w:rsidP="00C44969">
      <w:pPr>
        <w:pStyle w:val="Document"/>
      </w:pPr>
      <w:r w:rsidRPr="0004402C">
        <w:t xml:space="preserve">The proliferation of open source software—and digital platforms that further encourage social, open source development by publicizing user activity and work product—begs the question: how is all of this managed? While there are social norms in open source communities, within a project, who actually monitors comments, issues, and requests to incorporate changes? Is there always someone who definitively decides what modifications ultimately get added? </w:t>
      </w:r>
      <w:r w:rsidRPr="0004402C">
        <w:lastRenderedPageBreak/>
        <w:t>Are there always standards of development that collaborators must follow?</w:t>
      </w:r>
    </w:p>
    <w:p w14:paraId="721124B5" w14:textId="77777777" w:rsidR="0004402C" w:rsidRPr="0004402C" w:rsidRDefault="0004402C" w:rsidP="00CD38E6">
      <w:pPr>
        <w:pStyle w:val="Document"/>
      </w:pPr>
      <w:r w:rsidRPr="0004402C">
        <w:t>The answer is that it’s not always clear: a 2018 study of the 25 most starred (essentially, most popular) open source projects on GitHub revealed that around 75% of those projects did not explicitly provide any information about their governance model.</w:t>
      </w:r>
      <w:r w:rsidRPr="00FB2412">
        <w:rPr>
          <w:rStyle w:val="FootnoteReference"/>
        </w:rPr>
        <w:footnoteReference w:id="97"/>
      </w:r>
      <w:r w:rsidRPr="0004402C">
        <w:t xml:space="preserve"> However, there are three governance structures commonly associated with open source projects: “Benevolent Dictator for Life” (BDFL), meritocracy, and consensus (or liberal contribution).</w:t>
      </w:r>
      <w:r w:rsidRPr="00FB2412">
        <w:rPr>
          <w:rStyle w:val="FootnoteReference"/>
        </w:rPr>
        <w:footnoteReference w:id="98"/>
      </w:r>
    </w:p>
    <w:p w14:paraId="3A0287FB" w14:textId="77777777" w:rsidR="0004402C" w:rsidRPr="0004402C" w:rsidRDefault="0004402C" w:rsidP="00CD38E6">
      <w:pPr>
        <w:pStyle w:val="Document"/>
      </w:pPr>
      <w:r w:rsidRPr="0004402C">
        <w:t>Under BDFL, one person (or organization) has final control over major project decisions, such as project direction (and code modifications that will support this direction).</w:t>
      </w:r>
      <w:r w:rsidRPr="00FB2412">
        <w:rPr>
          <w:rStyle w:val="FootnoteReference"/>
        </w:rPr>
        <w:footnoteReference w:id="99"/>
      </w:r>
      <w:r w:rsidRPr="0004402C">
        <w:t xml:space="preserve"> Although most small projects default to BDFL and some major projects are managed under BDFL, such as Python and arguably Linux, it is considered an anti-pattern today.</w:t>
      </w:r>
      <w:r w:rsidRPr="00FB2412">
        <w:rPr>
          <w:rStyle w:val="FootnoteReference"/>
        </w:rPr>
        <w:footnoteReference w:id="100"/>
      </w:r>
      <w:r w:rsidRPr="0004402C">
        <w:t xml:space="preserve"> While BDFL means that there is an unambiguous decisionmaker, it is common for conflicts to arise between the “benevolent dictator” and the community.</w:t>
      </w:r>
      <w:r w:rsidRPr="00FB2412">
        <w:rPr>
          <w:rStyle w:val="FootnoteReference"/>
        </w:rPr>
        <w:footnoteReference w:id="101"/>
      </w:r>
    </w:p>
    <w:p w14:paraId="17F7D23A" w14:textId="77777777" w:rsidR="0004402C" w:rsidRPr="0004402C" w:rsidRDefault="0004402C" w:rsidP="00CD38E6">
      <w:pPr>
        <w:pStyle w:val="Document"/>
      </w:pPr>
      <w:r w:rsidRPr="0004402C">
        <w:t>Under meritocracy, active contributors who have “earned merit” through submitting high-quality code modification requests are granted direct access to the code repository and, thus, a formal decision-making role.</w:t>
      </w:r>
      <w:r w:rsidRPr="00FB2412">
        <w:rPr>
          <w:rStyle w:val="FootnoteReference"/>
        </w:rPr>
        <w:footnoteReference w:id="102"/>
      </w:r>
      <w:r w:rsidRPr="0004402C">
        <w:t xml:space="preserve"> Decisions are typically made through voting.</w:t>
      </w:r>
      <w:r w:rsidRPr="00FB2412">
        <w:rPr>
          <w:rStyle w:val="FootnoteReference"/>
        </w:rPr>
        <w:footnoteReference w:id="103"/>
      </w:r>
    </w:p>
    <w:p w14:paraId="4F293FE8" w14:textId="77777777" w:rsidR="00C44969" w:rsidRDefault="0004402C" w:rsidP="00C44969">
      <w:pPr>
        <w:pStyle w:val="Document"/>
      </w:pPr>
      <w:r w:rsidRPr="0004402C">
        <w:t>Under a consensus, the contributors who do the most work—based on current work, rather than historic contributions—are the most influential.</w:t>
      </w:r>
      <w:r w:rsidRPr="00FB2412">
        <w:rPr>
          <w:rStyle w:val="FootnoteReference"/>
        </w:rPr>
        <w:footnoteReference w:id="104"/>
      </w:r>
      <w:r w:rsidRPr="0004402C">
        <w:t xml:space="preserve"> Major project decisions are made through a consensus-seeking process, where stakeholders discuss grievances and as many community perspectives as possible are included in the </w:t>
      </w:r>
      <w:r w:rsidRPr="0004402C">
        <w:lastRenderedPageBreak/>
        <w:t>decision-making process, rather than through pure voting.</w:t>
      </w:r>
      <w:r w:rsidRPr="00FB2412">
        <w:rPr>
          <w:rStyle w:val="FootnoteReference"/>
        </w:rPr>
        <w:footnoteReference w:id="105"/>
      </w:r>
      <w:r w:rsidRPr="0004402C">
        <w:t xml:space="preserve"> In its Minimum Viable Governance model defaults, GitHub itself recommends consensus-based decision-making to open source projects with multiple maintainers.</w:t>
      </w:r>
      <w:r w:rsidRPr="00FB2412">
        <w:rPr>
          <w:rStyle w:val="FootnoteReference"/>
        </w:rPr>
        <w:footnoteReference w:id="106"/>
      </w:r>
    </w:p>
    <w:p w14:paraId="3AB437EF" w14:textId="12D34C78" w:rsidR="0004402C" w:rsidRPr="0004402C" w:rsidRDefault="0004402C" w:rsidP="00CD38E6">
      <w:pPr>
        <w:pStyle w:val="Document"/>
      </w:pPr>
      <w:r w:rsidRPr="0004402C">
        <w:t>In practice, these categories are not always well-defined and can also be used in combination with one another.</w:t>
      </w:r>
      <w:r w:rsidRPr="00FB2412">
        <w:rPr>
          <w:rStyle w:val="FootnoteReference"/>
        </w:rPr>
        <w:footnoteReference w:id="107"/>
      </w:r>
    </w:p>
    <w:p w14:paraId="2ED2AA4F" w14:textId="7598D068" w:rsidR="0004402C" w:rsidRPr="0004402C" w:rsidRDefault="0004402C" w:rsidP="005F79E6">
      <w:pPr>
        <w:pStyle w:val="SubHead1"/>
        <w:numPr>
          <w:ilvl w:val="0"/>
          <w:numId w:val="3"/>
        </w:numPr>
      </w:pPr>
      <w:bookmarkStart w:id="22" w:name="_Toc180790108"/>
      <w:bookmarkStart w:id="23" w:name="_Toc188103313"/>
      <w:r w:rsidRPr="0004402C">
        <w:t>A Tale of Two Contents: Code vs. Communication</w:t>
      </w:r>
      <w:bookmarkEnd w:id="22"/>
      <w:bookmarkEnd w:id="23"/>
    </w:p>
    <w:p w14:paraId="1105CA4E" w14:textId="77777777" w:rsidR="0004402C" w:rsidRPr="0004402C" w:rsidRDefault="0004402C" w:rsidP="00CD38E6">
      <w:pPr>
        <w:pStyle w:val="Document"/>
      </w:pPr>
      <w:r w:rsidRPr="0004402C">
        <w:t>The governance and social dynamics of open source development make clear that OSS development requires social interactions, and for better or worse, these social interactions can mimic those of society at large. The interactive nature of OSS development is further evidenced by the evolution of VCS hosting platforms to offer more and more features to enable social coding with lower barriers to entry. Due to this progression, it can be difficult to descriptively distinguish these platforms from traditional social media platforms. However, there are key fundamental differences between traditional social media platforms and version control system platforms, such as GitHub. In describing these distinctions, I do not mean to suggest that this section provides perfect or necessarily desirable ways to distinguish between VCS hosting platforms (or other primarily OSS-related platforms) and traditional social media platforms for purposes of crafting content moderation laws or regulations. Nevertheless, the way in which these platforms diverge are notable and worth considering: the two types of platforms contain functional and structural differences and have different primary concerns when monitoring or moderating content.</w:t>
      </w:r>
    </w:p>
    <w:p w14:paraId="3E6AC692" w14:textId="6717A445" w:rsidR="0004402C" w:rsidRPr="0004402C" w:rsidRDefault="0004402C" w:rsidP="00CD38E6">
      <w:pPr>
        <w:pStyle w:val="Document"/>
      </w:pPr>
      <w:r w:rsidRPr="0004402C">
        <w:t>At their core, traditional social media platforms and version control system platforms contain different types of content that serve different purposes. Although computer software is classified as literary work and is therefore under the purview of the Copyright Act,</w:t>
      </w:r>
      <w:r w:rsidRPr="00FB2412">
        <w:rPr>
          <w:rStyle w:val="FootnoteReference"/>
        </w:rPr>
        <w:footnoteReference w:id="108"/>
      </w:r>
      <w:r w:rsidRPr="0004402C">
        <w:t xml:space="preserve"> the exclusion of useful articles from copyright protection and the process-expression distinction are helpful analogies when </w:t>
      </w:r>
      <w:r w:rsidRPr="0004402C">
        <w:lastRenderedPageBreak/>
        <w:t>thinking about the difference</w:t>
      </w:r>
      <w:r w:rsidR="00D33ABC">
        <w:t xml:space="preserve"> </w:t>
      </w:r>
      <w:r w:rsidRPr="0004402C">
        <w:t xml:space="preserve">between </w:t>
      </w:r>
      <w:r w:rsidR="00D33ABC">
        <w:t xml:space="preserve">the content on </w:t>
      </w:r>
      <w:r w:rsidRPr="0004402C">
        <w:t xml:space="preserve">traditional social media platforms and VCS platforms. The content on traditional social media platforms tends to be expressive, whether </w:t>
      </w:r>
      <w:r w:rsidR="008B5DB7">
        <w:t>it is</w:t>
      </w:r>
      <w:r w:rsidR="003E25EF">
        <w:t xml:space="preserve"> </w:t>
      </w:r>
      <w:r w:rsidRPr="0004402C">
        <w:t>users’ opinions, articles about current events and other news, or pictures and videos. The content on VCS platforms tends to be code and supporting files, like documentation, tables, and images. Because so much of our lives today rely on software-based products, code is like public infrastructure.</w:t>
      </w:r>
      <w:r w:rsidRPr="00FB2412">
        <w:rPr>
          <w:rStyle w:val="FootnoteReference"/>
        </w:rPr>
        <w:footnoteReference w:id="109"/>
      </w:r>
      <w:r w:rsidRPr="0004402C">
        <w:t xml:space="preserve"> These differences in content type can be seen in the different purposes that traditional social media and VCS platforms serve, how users interact with the content, and the flow of information from content generator to content consumer. Nevertheless, with social coding platforms like GitHub, there are additional community-based communication features that resemble traditional social media platforms, such as news feeds, commenting, and reacting to others’ comments with different expressive emojis.</w:t>
      </w:r>
    </w:p>
    <w:p w14:paraId="2150B47F" w14:textId="230266FA" w:rsidR="0004402C" w:rsidRPr="0004402C" w:rsidRDefault="0004402C" w:rsidP="005F79E6">
      <w:pPr>
        <w:pStyle w:val="SubHead2"/>
        <w:numPr>
          <w:ilvl w:val="0"/>
          <w:numId w:val="7"/>
        </w:numPr>
      </w:pPr>
      <w:bookmarkStart w:id="24" w:name="_Toc180790109"/>
      <w:bookmarkStart w:id="25" w:name="_Toc188103314"/>
      <w:r w:rsidRPr="0004402C">
        <w:t>Functional &amp; Structural Differences</w:t>
      </w:r>
      <w:bookmarkEnd w:id="24"/>
      <w:bookmarkEnd w:id="25"/>
    </w:p>
    <w:p w14:paraId="03886280" w14:textId="77777777" w:rsidR="0004402C" w:rsidRPr="0004402C" w:rsidRDefault="0004402C" w:rsidP="00C44969">
      <w:pPr>
        <w:pStyle w:val="Document"/>
      </w:pPr>
      <w:r w:rsidRPr="0004402C">
        <w:t>The function of traditional social media platforms is typically to provide consumable content</w:t>
      </w:r>
      <w:r w:rsidR="00B440EF">
        <w:t>, as such</w:t>
      </w:r>
      <w:r w:rsidRPr="0004402C">
        <w:t>.</w:t>
      </w:r>
      <w:r w:rsidRPr="00FB2412">
        <w:rPr>
          <w:rStyle w:val="FootnoteReference"/>
        </w:rPr>
        <w:footnoteReference w:id="110"/>
      </w:r>
      <w:r w:rsidRPr="0004402C">
        <w:t xml:space="preserve"> There is generally a one-way flow of content, from the generator to the consumer. While the consumer may ruminate on the content to which they have been exposed and create new content based on what they have consumed, the original content itself typically is not edited by anyone other than the original creator(s). In this way, each piece of content tends to stand on its own, in relative isolation from others.</w:t>
      </w:r>
    </w:p>
    <w:p w14:paraId="59122FBE" w14:textId="77777777" w:rsidR="0004402C" w:rsidRPr="0004402C" w:rsidRDefault="0004402C" w:rsidP="00CD38E6">
      <w:pPr>
        <w:pStyle w:val="Document"/>
      </w:pPr>
      <w:r w:rsidRPr="0004402C">
        <w:t xml:space="preserve">This one-way flow of content does not hold for the content on </w:t>
      </w:r>
      <w:r w:rsidR="008B5DB7">
        <w:t>VCS</w:t>
      </w:r>
      <w:r w:rsidR="00C235E9">
        <w:t xml:space="preserve"> </w:t>
      </w:r>
      <w:r w:rsidRPr="0004402C">
        <w:t>platforms. The function of VCS platforms is to share tools to be used</w:t>
      </w:r>
      <w:r w:rsidRPr="00FB2412">
        <w:rPr>
          <w:rStyle w:val="FootnoteReference"/>
        </w:rPr>
        <w:footnoteReference w:id="111"/>
      </w:r>
      <w:r w:rsidRPr="0004402C">
        <w:t xml:space="preserve"> and to provide a space for users to jointly contribute to the creation of those tools.</w:t>
      </w:r>
      <w:r w:rsidRPr="00FB2412">
        <w:rPr>
          <w:rStyle w:val="FootnoteReference"/>
        </w:rPr>
        <w:footnoteReference w:id="112"/>
      </w:r>
      <w:r w:rsidRPr="0004402C">
        <w:t xml:space="preserve"> Here, the flow of content is more two-way or cyclical between the original content creator(s) and the consumers. If their repository is public, the original content creator pushes their code onto the platform understanding that their code can and may be commented on and edited by others, as is the nature </w:t>
      </w:r>
      <w:r w:rsidRPr="0004402C">
        <w:lastRenderedPageBreak/>
        <w:t>of open source software. Furthermore, the content on version control system platforms is functional: public repositories are often made public with the purpose of being used in other pieces of code. Thus, many code bases on VCS platforms are dependent on each other, as opposed to standalone pieces of content like traditional social media posts. Code may also be incorporated into other products, just as a hardware component may be one small piece in the manufacture of a physical product.</w:t>
      </w:r>
    </w:p>
    <w:p w14:paraId="3D57DF6D" w14:textId="07DA3439" w:rsidR="0004402C" w:rsidRPr="0004402C" w:rsidRDefault="0004402C" w:rsidP="00CD38E6">
      <w:pPr>
        <w:pStyle w:val="Document"/>
      </w:pPr>
      <w:r w:rsidRPr="0004402C">
        <w:t>Analogizing the types of content on each platform to the structure of the platforms themselves, the archetypal content on traditional social media platforms are also “final, user-facing products;” in contrast, the archetypal content on VCS platforms (namely, code) is not typically a final, user-facing product. This difference is true particularly in light of the fact that these web-based platforms would not exist as final, user-facing products without underlying code: code is a product used to build other products, rather than an end-product entirely in and of itself. The primary purpose of VCS hosting platforms is to enable collaborative software creation, rather than to communicate expressive content.</w:t>
      </w:r>
      <w:r w:rsidRPr="00FB2412">
        <w:rPr>
          <w:rStyle w:val="FootnoteReference"/>
        </w:rPr>
        <w:footnoteReference w:id="113"/>
      </w:r>
      <w:r w:rsidRPr="0004402C">
        <w:t xml:space="preserve"> Applied to content moderation practices, decisions by traditional social media platforms affect individual pieces of content while VCS platform decisions </w:t>
      </w:r>
      <w:r w:rsidR="00C96CCF">
        <w:t xml:space="preserve">may </w:t>
      </w:r>
      <w:r w:rsidRPr="0004402C">
        <w:t>indirectly control content moderation policies of user-facing products that rely on the content on VCS platforms—a kind of “meta-moderation.”</w:t>
      </w:r>
      <w:r w:rsidRPr="00FB2412">
        <w:rPr>
          <w:rStyle w:val="FootnoteReference"/>
        </w:rPr>
        <w:footnoteReference w:id="114"/>
      </w:r>
      <w:r w:rsidRPr="0004402C">
        <w:t xml:space="preserve"> If there are many dependencies on a code repository or a specific user, a VCS platform’s decision to restrict that code repository or that user’s account may impact multiple pieces of content.</w:t>
      </w:r>
    </w:p>
    <w:p w14:paraId="6F231B95" w14:textId="60A33B93" w:rsidR="0004402C" w:rsidRPr="0004402C" w:rsidRDefault="0004402C" w:rsidP="005F79E6">
      <w:pPr>
        <w:pStyle w:val="SubHead2"/>
        <w:numPr>
          <w:ilvl w:val="0"/>
          <w:numId w:val="7"/>
        </w:numPr>
      </w:pPr>
      <w:bookmarkStart w:id="26" w:name="_Toc180790110"/>
      <w:bookmarkStart w:id="27" w:name="_Toc188103315"/>
      <w:r w:rsidRPr="0004402C">
        <w:t>Different Core Concerns when Moderating Content</w:t>
      </w:r>
      <w:bookmarkEnd w:id="26"/>
      <w:bookmarkEnd w:id="27"/>
    </w:p>
    <w:p w14:paraId="2A6EBA08" w14:textId="77777777" w:rsidR="0004402C" w:rsidRPr="0004402C" w:rsidRDefault="0004402C" w:rsidP="00C44969">
      <w:pPr>
        <w:pStyle w:val="Document"/>
      </w:pPr>
      <w:r w:rsidRPr="0004402C">
        <w:t>The different types of content on traditional social media versus VCS hosting platforms also inform the harms with which we are concerned—in other words, the harms we envision content moderation to address.</w:t>
      </w:r>
    </w:p>
    <w:p w14:paraId="62866AA7" w14:textId="77777777" w:rsidR="0004402C" w:rsidRPr="0004402C" w:rsidRDefault="0004402C" w:rsidP="00CD38E6">
      <w:pPr>
        <w:pStyle w:val="Document"/>
      </w:pPr>
      <w:r w:rsidRPr="0004402C">
        <w:t xml:space="preserve">Much of the discourse surrounding content moderation on traditional social media platforms focuses on misinformation, hate </w:t>
      </w:r>
      <w:r w:rsidRPr="0004402C">
        <w:lastRenderedPageBreak/>
        <w:t>speech, and harassment.</w:t>
      </w:r>
      <w:r w:rsidRPr="00FB2412">
        <w:rPr>
          <w:rStyle w:val="FootnoteReference"/>
        </w:rPr>
        <w:footnoteReference w:id="115"/>
      </w:r>
      <w:r w:rsidRPr="0004402C">
        <w:t xml:space="preserve"> I will discuss this more in section VI, but the general concern is as follows: because our world is becoming increasingly digitized and we are increasingly reliant on social media platforms to participate in society, we worry that undesirable content is disseminated too widely, too quickly. To curb this harm, we look to traditional social media platforms to moderate content. If we think that these platforms are not sufficiently protecting the public from misinformation and harassment harms, then we think that increasing platforms’ obligations and/or liability for undesirable content—or removing safe harbors for user-generated content altogether—could be potential solutions. Yet, if platforms moderate content too much and take down user-generated content too often, we worry that speech will be chilled and about the implications of platforms’ takedowns on users’ First Amendment rights.</w:t>
      </w:r>
      <w:r w:rsidRPr="00FB2412">
        <w:rPr>
          <w:rStyle w:val="FootnoteReference"/>
        </w:rPr>
        <w:footnoteReference w:id="116"/>
      </w:r>
    </w:p>
    <w:p w14:paraId="65AC09D0" w14:textId="54DDF82B" w:rsidR="0004402C" w:rsidRPr="0004402C" w:rsidRDefault="0004402C" w:rsidP="00CD38E6">
      <w:pPr>
        <w:pStyle w:val="Document"/>
      </w:pPr>
      <w:r w:rsidRPr="0004402C">
        <w:t xml:space="preserve">On the other hand, the harms we are concerned with when discussing the content on VCS hosting platforms, and </w:t>
      </w:r>
      <w:r w:rsidR="00040902">
        <w:t>when discussing</w:t>
      </w:r>
      <w:r w:rsidR="001B335C">
        <w:t xml:space="preserve"> </w:t>
      </w:r>
      <w:r w:rsidRPr="0004402C">
        <w:t xml:space="preserve">open source software more generally, </w:t>
      </w:r>
      <w:r>
        <w:t>tend to be</w:t>
      </w:r>
      <w:r w:rsidRPr="0004402C">
        <w:t xml:space="preserve"> more technical in nature. Intellectual property and licensing issues aside,</w:t>
      </w:r>
      <w:r w:rsidRPr="00FB2412">
        <w:rPr>
          <w:rStyle w:val="FootnoteReference"/>
        </w:rPr>
        <w:footnoteReference w:id="117"/>
      </w:r>
      <w:r w:rsidRPr="0004402C">
        <w:t xml:space="preserve"> open source software has code security risks. Some of these cybersecurity risks include espionage, attacks against infrastructure, and ransomware attacks.</w:t>
      </w:r>
      <w:r w:rsidRPr="00FB2412">
        <w:rPr>
          <w:rStyle w:val="FootnoteReference"/>
        </w:rPr>
        <w:footnoteReference w:id="118"/>
      </w:r>
      <w:r w:rsidRPr="0004402C">
        <w:t xml:space="preserve"> While a benefit of open source software is that more people have eyes on the code and</w:t>
      </w:r>
      <w:r w:rsidR="00FB2412">
        <w:t xml:space="preserve"> can theoretically</w:t>
      </w:r>
      <w:r w:rsidRPr="0004402C">
        <w:t xml:space="preserve"> spot vulnerabilities</w:t>
      </w:r>
      <w:r w:rsidR="00F37902">
        <w:t xml:space="preserve"> </w:t>
      </w:r>
      <w:r w:rsidR="00FA476E">
        <w:t>more quickly</w:t>
      </w:r>
      <w:r w:rsidRPr="0004402C">
        <w:t>, these same vulnerabilities are also visible to and can be exploited</w:t>
      </w:r>
      <w:r w:rsidR="00FA5071">
        <w:t xml:space="preserve"> by </w:t>
      </w:r>
      <w:r w:rsidR="00FA5071" w:rsidRPr="0004402C">
        <w:t>bad actors</w:t>
      </w:r>
      <w:r w:rsidRPr="0004402C">
        <w:t>.</w:t>
      </w:r>
      <w:r w:rsidRPr="00FB2412">
        <w:rPr>
          <w:rStyle w:val="FootnoteReference"/>
        </w:rPr>
        <w:footnoteReference w:id="119"/>
      </w:r>
      <w:r w:rsidRPr="0004402C">
        <w:t xml:space="preserve"> GitHub itself recognizes this concern</w:t>
      </w:r>
      <w:r>
        <w:t xml:space="preserve">, </w:t>
      </w:r>
      <w:r w:rsidRPr="0004402C">
        <w:t xml:space="preserve">evidenced by </w:t>
      </w:r>
      <w:r>
        <w:t xml:space="preserve">their </w:t>
      </w:r>
      <w:r w:rsidRPr="0004402C">
        <w:t xml:space="preserve">offering </w:t>
      </w:r>
      <w:r>
        <w:t xml:space="preserve">of </w:t>
      </w:r>
      <w:r w:rsidRPr="0004402C">
        <w:t xml:space="preserve">CodeQL, an automated code analysis engine that notifies users of potential security </w:t>
      </w:r>
      <w:r w:rsidRPr="0004402C">
        <w:lastRenderedPageBreak/>
        <w:t>vulnerabilities in their code.</w:t>
      </w:r>
      <w:r w:rsidRPr="00FB2412">
        <w:rPr>
          <w:rStyle w:val="FootnoteReference"/>
        </w:rPr>
        <w:footnoteReference w:id="120"/>
      </w:r>
      <w:r w:rsidRPr="0004402C">
        <w:t xml:space="preserve"> Without sufficient content moderation on VCS platforms, these cybersecurity risks can be deeply problematic, as one repository may be relied upon by millions of people.</w:t>
      </w:r>
      <w:r w:rsidRPr="00FB2412">
        <w:rPr>
          <w:rStyle w:val="FootnoteReference"/>
        </w:rPr>
        <w:footnoteReference w:id="121"/>
      </w:r>
      <w:r w:rsidRPr="0004402C">
        <w:t xml:space="preserve"> However, too much content moderation, especially wrongful restrictions or takedowns of code, may break </w:t>
      </w:r>
      <w:r>
        <w:t xml:space="preserve">all of the </w:t>
      </w:r>
      <w:r w:rsidRPr="0004402C">
        <w:t>other projects that rely on</w:t>
      </w:r>
      <w:r w:rsidR="00605488">
        <w:t xml:space="preserve"> the now</w:t>
      </w:r>
      <w:r w:rsidR="00F03D3F">
        <w:t>-</w:t>
      </w:r>
      <w:r w:rsidR="009F683C">
        <w:t>restricted content</w:t>
      </w:r>
      <w:r w:rsidRPr="0004402C">
        <w:t>. Thus, it is not only the individual piece of “content” that is impacted, but potentially many other useful software products as well.</w:t>
      </w:r>
    </w:p>
    <w:p w14:paraId="14015E7C" w14:textId="39B6E907" w:rsidR="0004402C" w:rsidRPr="00151A09" w:rsidRDefault="0004402C" w:rsidP="005F79E6">
      <w:pPr>
        <w:pStyle w:val="SubHead2"/>
        <w:numPr>
          <w:ilvl w:val="0"/>
          <w:numId w:val="7"/>
        </w:numPr>
      </w:pPr>
      <w:bookmarkStart w:id="28" w:name="_Toc180790111"/>
      <w:bookmarkStart w:id="29" w:name="_Toc188103316"/>
      <w:r w:rsidRPr="00151A09">
        <w:t>Distinguishing Platforms from Machine Learning Models</w:t>
      </w:r>
      <w:bookmarkEnd w:id="28"/>
      <w:bookmarkEnd w:id="29"/>
    </w:p>
    <w:p w14:paraId="178A6FBB" w14:textId="77777777" w:rsidR="0004402C" w:rsidRPr="0004402C" w:rsidRDefault="00151A09" w:rsidP="00C44969">
      <w:pPr>
        <w:pStyle w:val="Document"/>
      </w:pPr>
      <w:r>
        <w:t>I</w:t>
      </w:r>
      <w:r w:rsidR="0004402C" w:rsidRPr="0004402C">
        <w:t>t is also worth noting and distinguishing a</w:t>
      </w:r>
      <w:r w:rsidR="009A1C53">
        <w:t xml:space="preserve">nother </w:t>
      </w:r>
      <w:r w:rsidR="0004402C" w:rsidRPr="0004402C">
        <w:t xml:space="preserve">type of hosting platform related to OSS development that </w:t>
      </w:r>
      <w:r w:rsidR="00CE4E5D">
        <w:t xml:space="preserve">has gained prominence </w:t>
      </w:r>
      <w:r w:rsidR="00A4262A">
        <w:t>in recent years</w:t>
      </w:r>
      <w:r w:rsidR="0004402C" w:rsidRPr="0004402C">
        <w:t>: machine learning model platforms, or “model marketplaces,” a</w:t>
      </w:r>
      <w:r w:rsidR="00A4262A">
        <w:t xml:space="preserve"> term</w:t>
      </w:r>
      <w:r w:rsidR="0004402C" w:rsidRPr="0004402C">
        <w:t xml:space="preserve"> coined by Gorwa and Veale in their paper on content moderation governance for AI intermediaries.</w:t>
      </w:r>
      <w:r w:rsidR="0004402C" w:rsidRPr="00FB2412">
        <w:rPr>
          <w:rStyle w:val="FootnoteReference"/>
        </w:rPr>
        <w:footnoteReference w:id="122"/>
      </w:r>
      <w:r w:rsidR="0004402C" w:rsidRPr="0004402C">
        <w:t xml:space="preserve"> While generic software development platforms like GitHub </w:t>
      </w:r>
      <w:r w:rsidR="005137DC">
        <w:t xml:space="preserve">can </w:t>
      </w:r>
      <w:r w:rsidR="0004402C" w:rsidRPr="0004402C">
        <w:t>host machine learning models and their development, model marketplaces</w:t>
      </w:r>
      <w:r>
        <w:t>, exemplified by</w:t>
      </w:r>
      <w:r w:rsidR="0004402C" w:rsidRPr="0004402C">
        <w:t xml:space="preserve"> Hugging Face</w:t>
      </w:r>
      <w:r>
        <w:t xml:space="preserve">, </w:t>
      </w:r>
      <w:r w:rsidR="0004402C" w:rsidRPr="0004402C">
        <w:t xml:space="preserve">are </w:t>
      </w:r>
      <w:r>
        <w:t>platforms specifically designed for these purposes</w:t>
      </w:r>
      <w:r w:rsidR="0004402C" w:rsidRPr="0004402C">
        <w:t>.</w:t>
      </w:r>
      <w:r w:rsidR="0004402C" w:rsidRPr="00FB2412">
        <w:rPr>
          <w:rStyle w:val="FootnoteReference"/>
        </w:rPr>
        <w:footnoteReference w:id="123"/>
      </w:r>
      <w:r w:rsidR="0004402C" w:rsidRPr="0004402C">
        <w:t xml:space="preserve"> Model marketplaces differ from generic software development platforms like GitHub in that they contain new features, such as model querying, deployment, and tools for fine-tuning and training existing models.</w:t>
      </w:r>
      <w:r w:rsidR="0004402C" w:rsidRPr="00FB2412">
        <w:rPr>
          <w:rStyle w:val="FootnoteReference"/>
        </w:rPr>
        <w:footnoteReference w:id="124"/>
      </w:r>
      <w:r w:rsidR="0004402C" w:rsidRPr="0004402C">
        <w:t xml:space="preserve"> Machine learning models and datasets are often several gigabytes large; Hugging Face accommodates for this with a hard limit of 50GB per file, around 500 times larger than GitHub’s 100MiB per file.</w:t>
      </w:r>
      <w:r w:rsidR="0004402C" w:rsidRPr="00FB2412">
        <w:rPr>
          <w:rStyle w:val="FootnoteReference"/>
        </w:rPr>
        <w:footnoteReference w:id="125"/>
      </w:r>
    </w:p>
    <w:p w14:paraId="2250EB69" w14:textId="77777777" w:rsidR="0004402C" w:rsidRPr="0004402C" w:rsidRDefault="0004402C" w:rsidP="00CD38E6">
      <w:pPr>
        <w:pStyle w:val="Document"/>
      </w:pPr>
      <w:r w:rsidRPr="0004402C">
        <w:t xml:space="preserve">Model marketplaces and VCS platforms are similar in that both of these intermediaries facilitate collaborative, open source </w:t>
      </w:r>
      <w:r w:rsidRPr="0004402C">
        <w:lastRenderedPageBreak/>
        <w:t>development of the content they host.</w:t>
      </w:r>
      <w:r w:rsidRPr="00FB2412">
        <w:rPr>
          <w:rStyle w:val="FootnoteReference"/>
        </w:rPr>
        <w:footnoteReference w:id="126"/>
      </w:r>
      <w:r w:rsidRPr="0004402C">
        <w:t xml:space="preserve"> Furthermore, the content they host is functional and dual-use: both machine learning models and code </w:t>
      </w:r>
      <w:r>
        <w:t xml:space="preserve">generally </w:t>
      </w:r>
      <w:r w:rsidRPr="0004402C">
        <w:t xml:space="preserve">are technical, functional products that </w:t>
      </w:r>
      <w:r>
        <w:t>may be used in</w:t>
      </w:r>
      <w:r w:rsidRPr="0004402C">
        <w:t xml:space="preserve"> harmful ways, even if that was not the intended purpose.</w:t>
      </w:r>
      <w:r w:rsidRPr="00FB2412">
        <w:rPr>
          <w:rStyle w:val="FootnoteReference"/>
        </w:rPr>
        <w:footnoteReference w:id="127"/>
      </w:r>
      <w:r w:rsidRPr="0004402C">
        <w:t xml:space="preserve"> However, the harmful uses of models </w:t>
      </w:r>
      <w:r>
        <w:t>Gorwa and Veale</w:t>
      </w:r>
      <w:r w:rsidR="00BF2988">
        <w:t xml:space="preserve"> highlight</w:t>
      </w:r>
      <w:r>
        <w:t xml:space="preserve"> </w:t>
      </w:r>
      <w:r w:rsidRPr="0004402C">
        <w:t xml:space="preserve">relate to </w:t>
      </w:r>
      <w:r w:rsidDel="0004402C">
        <w:t xml:space="preserve">either </w:t>
      </w:r>
      <w:r w:rsidRPr="0004402C">
        <w:t>traditional content moderation concerns like hateful speech, harassment, misinformation (when a model misreports or hallucinates facts), and otherwise illegal content,</w:t>
      </w:r>
      <w:r w:rsidRPr="00FB2412">
        <w:rPr>
          <w:rStyle w:val="FootnoteReference"/>
        </w:rPr>
        <w:footnoteReference w:id="128"/>
      </w:r>
      <w:r w:rsidRPr="0004402C">
        <w:t xml:space="preserve"> or legal concerns like copyright infringement and the right to privacy.</w:t>
      </w:r>
      <w:r w:rsidRPr="00FB2412">
        <w:rPr>
          <w:rStyle w:val="FootnoteReference"/>
        </w:rPr>
        <w:footnoteReference w:id="129"/>
      </w:r>
      <w:r w:rsidRPr="0004402C">
        <w:t xml:space="preserve"> The other main difference between models and code </w:t>
      </w:r>
      <w:r w:rsidDel="0004402C">
        <w:t xml:space="preserve">more generally </w:t>
      </w:r>
      <w:r w:rsidRPr="0004402C">
        <w:t>is that there is far less certainty with models. Although there may be unforeseen uses of a general software product, following lines of code will give a good sense of how that product will behave. The same is not necessarily true of machine learning models, where outputs are much harder to trace and may be unpredictable, especially if the training set is not made available.</w:t>
      </w:r>
      <w:r w:rsidRPr="00FB2412">
        <w:rPr>
          <w:rStyle w:val="FootnoteReference"/>
        </w:rPr>
        <w:footnoteReference w:id="130"/>
      </w:r>
    </w:p>
    <w:p w14:paraId="571D1DF4" w14:textId="626D9DF0" w:rsidR="0004402C" w:rsidRPr="0004402C" w:rsidRDefault="00412FC1" w:rsidP="00CD38E6">
      <w:pPr>
        <w:pStyle w:val="Document"/>
      </w:pPr>
      <w:r w:rsidDel="0004402C">
        <w:t xml:space="preserve">Because model marketplaces like Hugging Face are intermediaries for a more targeted subset of content than </w:t>
      </w:r>
      <w:r w:rsidR="00F82ED1">
        <w:t xml:space="preserve">are </w:t>
      </w:r>
      <w:r w:rsidDel="0004402C">
        <w:t xml:space="preserve">general software developing platforms like GitHub, </w:t>
      </w:r>
      <w:r w:rsidR="0004402C" w:rsidRPr="0004402C">
        <w:t xml:space="preserve">the </w:t>
      </w:r>
      <w:r w:rsidDel="0004402C">
        <w:t xml:space="preserve">challenges </w:t>
      </w:r>
      <w:r>
        <w:t xml:space="preserve">with and innovations </w:t>
      </w:r>
      <w:r w:rsidDel="0004402C">
        <w:t>in content</w:t>
      </w:r>
      <w:r>
        <w:t xml:space="preserve"> moderation that</w:t>
      </w:r>
      <w:r w:rsidR="0004402C" w:rsidRPr="0004402C">
        <w:t xml:space="preserve"> Gorwa and Veale </w:t>
      </w:r>
      <w:r>
        <w:t xml:space="preserve">note </w:t>
      </w:r>
      <w:r w:rsidR="0004402C" w:rsidRPr="0004402C">
        <w:t xml:space="preserve">are </w:t>
      </w:r>
      <w:r>
        <w:t>machine-learning-model-specific</w:t>
      </w:r>
      <w:r w:rsidDel="0004402C">
        <w:t>.</w:t>
      </w:r>
      <w:r w:rsidR="0004402C" w:rsidRPr="0004402C">
        <w:t xml:space="preserve"> For example, </w:t>
      </w:r>
      <w:r w:rsidDel="0004402C">
        <w:t xml:space="preserve">the </w:t>
      </w:r>
      <w:r w:rsidR="0004402C" w:rsidRPr="0004402C">
        <w:t xml:space="preserve">“bolting-on mitigation features” </w:t>
      </w:r>
      <w:r w:rsidDel="0004402C">
        <w:t xml:space="preserve">practice, </w:t>
      </w:r>
      <w:r w:rsidR="0004402C" w:rsidRPr="0004402C">
        <w:t xml:space="preserve">where model marketplaces can control either the input or output of models through user interfaces and APIs, is possible because these intermediaries </w:t>
      </w:r>
      <w:r w:rsidR="0086189F">
        <w:t>deal</w:t>
      </w:r>
      <w:r w:rsidR="0004402C" w:rsidRPr="0004402C">
        <w:t xml:space="preserve"> with one type of product that has an input/output structure.</w:t>
      </w:r>
      <w:r w:rsidR="0004402C" w:rsidRPr="00FB2412">
        <w:rPr>
          <w:rStyle w:val="FootnoteReference"/>
        </w:rPr>
        <w:footnoteReference w:id="131"/>
      </w:r>
      <w:r w:rsidR="0004402C" w:rsidRPr="0004402C">
        <w:t xml:space="preserve"> Otherwise, many content moderation developments in model marketplaces reflect those of general software platforms—which are older, more well-resourced, and more experienced </w:t>
      </w:r>
      <w:r>
        <w:t xml:space="preserve">in dealing </w:t>
      </w:r>
      <w:r w:rsidR="0004402C" w:rsidRPr="0004402C">
        <w:t>with dual-use content moderation, like friction and access restraints and open policy development.</w:t>
      </w:r>
      <w:r w:rsidR="0004402C" w:rsidRPr="00FB2412">
        <w:rPr>
          <w:rStyle w:val="FootnoteReference"/>
        </w:rPr>
        <w:footnoteReference w:id="132"/>
      </w:r>
      <w:r w:rsidR="0004402C" w:rsidRPr="0004402C">
        <w:t xml:space="preserve"> </w:t>
      </w:r>
    </w:p>
    <w:p w14:paraId="1312F4AE" w14:textId="3D1DCA3E" w:rsidR="0004402C" w:rsidRPr="0004402C" w:rsidRDefault="0004402C" w:rsidP="005F79E6">
      <w:pPr>
        <w:pStyle w:val="SubHead1"/>
        <w:numPr>
          <w:ilvl w:val="0"/>
          <w:numId w:val="3"/>
        </w:numPr>
      </w:pPr>
      <w:bookmarkStart w:id="30" w:name="_Toc180790112"/>
      <w:bookmarkStart w:id="31" w:name="_Toc188103317"/>
      <w:r w:rsidRPr="0004402C">
        <w:lastRenderedPageBreak/>
        <w:t>Legal Landscape of Content Moderation: §</w:t>
      </w:r>
      <w:r w:rsidR="00144514">
        <w:t> </w:t>
      </w:r>
      <w:r w:rsidRPr="0004402C">
        <w:t>230 and the DSA</w:t>
      </w:r>
      <w:bookmarkEnd w:id="30"/>
      <w:bookmarkEnd w:id="31"/>
    </w:p>
    <w:p w14:paraId="59418549" w14:textId="54283E83" w:rsidR="0004402C" w:rsidRPr="0004402C" w:rsidRDefault="0004402C" w:rsidP="00CD38E6">
      <w:pPr>
        <w:pStyle w:val="Document"/>
      </w:pPr>
      <w:r w:rsidRPr="0004402C">
        <w:t xml:space="preserve">The common governance structures of open source projects are typically user- and community-focused. However, because open source projects are </w:t>
      </w:r>
      <w:r>
        <w:t xml:space="preserve">frequently </w:t>
      </w:r>
      <w:r w:rsidRPr="0004402C">
        <w:t xml:space="preserve">hosted on digital platforms, the recent </w:t>
      </w:r>
      <w:r>
        <w:t>increase</w:t>
      </w:r>
      <w:r w:rsidR="00B7438E">
        <w:t>d</w:t>
      </w:r>
      <w:r w:rsidRPr="0004402C">
        <w:t xml:space="preserve"> scrutiny of digital platforms </w:t>
      </w:r>
      <w:r>
        <w:t xml:space="preserve">more generally </w:t>
      </w:r>
      <w:r w:rsidRPr="0004402C">
        <w:t>(the “techlash”)</w:t>
      </w:r>
      <w:r w:rsidR="000D630A">
        <w:t xml:space="preserve"> and </w:t>
      </w:r>
      <w:r w:rsidRPr="0004402C">
        <w:t xml:space="preserve">lawmakers’ </w:t>
      </w:r>
      <w:r w:rsidR="00B17233">
        <w:t xml:space="preserve">efforts </w:t>
      </w:r>
      <w:r w:rsidRPr="0004402C">
        <w:t xml:space="preserve">to increase </w:t>
      </w:r>
      <w:r>
        <w:t xml:space="preserve">the </w:t>
      </w:r>
      <w:r w:rsidRPr="0004402C">
        <w:t>content moderation obligations</w:t>
      </w:r>
      <w:r>
        <w:t xml:space="preserve"> of platforms</w:t>
      </w:r>
      <w:r w:rsidRPr="00FB2412">
        <w:rPr>
          <w:rStyle w:val="FootnoteReference"/>
        </w:rPr>
        <w:footnoteReference w:id="133"/>
      </w:r>
      <w:r w:rsidRPr="0004402C">
        <w:t xml:space="preserve"> should </w:t>
      </w:r>
      <w:r w:rsidR="003C5EAF">
        <w:t xml:space="preserve">raise </w:t>
      </w:r>
      <w:r w:rsidRPr="0004402C">
        <w:t xml:space="preserve">concerns </w:t>
      </w:r>
      <w:r w:rsidR="003C5EAF">
        <w:t xml:space="preserve">about </w:t>
      </w:r>
      <w:r w:rsidRPr="0004402C">
        <w:t xml:space="preserve">the governance of the open source hosting platforms themselves. Particularly in the free speech context, </w:t>
      </w:r>
      <w:r w:rsidR="007E53C1">
        <w:t>to what extent should</w:t>
      </w:r>
      <w:r w:rsidRPr="0004402C">
        <w:t xml:space="preserve"> concerns with content moderation on traditional social media platforms </w:t>
      </w:r>
      <w:r w:rsidR="009355AD">
        <w:t>like</w:t>
      </w:r>
      <w:r w:rsidRPr="0004402C">
        <w:t xml:space="preserve"> Twitter, Facebook, </w:t>
      </w:r>
      <w:r w:rsidR="00457061">
        <w:t xml:space="preserve">and </w:t>
      </w:r>
      <w:r w:rsidRPr="0004402C">
        <w:t>Instagram</w:t>
      </w:r>
      <w:r w:rsidR="00457061">
        <w:t xml:space="preserve"> </w:t>
      </w:r>
      <w:r>
        <w:t>translate</w:t>
      </w:r>
      <w:r w:rsidRPr="0004402C">
        <w:t xml:space="preserve"> </w:t>
      </w:r>
      <w:r>
        <w:t xml:space="preserve">to </w:t>
      </w:r>
      <w:r w:rsidRPr="0004402C">
        <w:t>open source hosting platforms?</w:t>
      </w:r>
    </w:p>
    <w:p w14:paraId="41A325B3" w14:textId="68342E3B" w:rsidR="0004402C" w:rsidRPr="0004402C" w:rsidRDefault="0004402C" w:rsidP="00CD38E6">
      <w:pPr>
        <w:pStyle w:val="Document"/>
      </w:pPr>
      <w:r w:rsidRPr="0004402C">
        <w:t>Content moderation and platform liability for user-generated content generally fall into three buckets: unconditional liability shields (§</w:t>
      </w:r>
      <w:r w:rsidR="00E92EBF">
        <w:t> </w:t>
      </w:r>
      <w:r w:rsidRPr="0004402C">
        <w:t xml:space="preserve">230 in the U.S.), notice-and-takedown regimes (the EU’s Electronic Commerce Directive) with additional reporting obligations (the EU’s Digital Services Act), and platform self-regulation. </w:t>
      </w:r>
    </w:p>
    <w:p w14:paraId="2AEA1840" w14:textId="4462D181" w:rsidR="0004402C" w:rsidRPr="0004402C" w:rsidRDefault="0004402C" w:rsidP="00CD38E6">
      <w:pPr>
        <w:pStyle w:val="Document"/>
      </w:pPr>
      <w:r w:rsidRPr="0004402C">
        <w:t>When people talk about content moderation on platforms, the paradigm case involves a large social media platform—</w:t>
      </w:r>
      <w:r w:rsidR="00F47A79">
        <w:t>such as</w:t>
      </w:r>
      <w:r w:rsidRPr="0004402C">
        <w:t xml:space="preserve"> Twitter, Facebook, Instagram, or YouTube—deciding whether to keep </w:t>
      </w:r>
      <w:r>
        <w:t xml:space="preserve">up </w:t>
      </w:r>
      <w:r w:rsidRPr="0004402C">
        <w:t xml:space="preserve">or </w:t>
      </w:r>
      <w:r>
        <w:t>take down</w:t>
      </w:r>
      <w:r w:rsidRPr="0004402C">
        <w:t xml:space="preserve"> individual pieces of user-uploaded content after a request from other users, the government, third-party advocacy groups, or media outcry.</w:t>
      </w:r>
      <w:r w:rsidRPr="00FB2412">
        <w:rPr>
          <w:rStyle w:val="FootnoteReference"/>
        </w:rPr>
        <w:footnoteReference w:id="134"/>
      </w:r>
      <w:r w:rsidRPr="0004402C">
        <w:t xml:space="preserve"> These decisions are made in accordance with each platform’s own, often incredibly detailed, internal rulebook for distinguishing acceptable content from unacceptable content; a platform’s internal rulebook is different from general, consumer-facing policies and community standards that provide users with posting guidelines.</w:t>
      </w:r>
      <w:r w:rsidRPr="00FB2412">
        <w:rPr>
          <w:rStyle w:val="FootnoteReference"/>
        </w:rPr>
        <w:footnoteReference w:id="135"/>
      </w:r>
      <w:r w:rsidRPr="0004402C">
        <w:t xml:space="preserve"> The platform’s internal content </w:t>
      </w:r>
      <w:r w:rsidRPr="0004402C">
        <w:lastRenderedPageBreak/>
        <w:t>moderation rulebook undergoes iterative, ongoing revisions that attempt to promptly incorporate its users’ norms and expectations.</w:t>
      </w:r>
      <w:r w:rsidRPr="00FB2412">
        <w:rPr>
          <w:rStyle w:val="FootnoteReference"/>
        </w:rPr>
        <w:footnoteReference w:id="136"/>
      </w:r>
    </w:p>
    <w:p w14:paraId="71B10904" w14:textId="0401F8A2" w:rsidR="0004402C" w:rsidRPr="0004402C" w:rsidRDefault="0004402C" w:rsidP="00CD38E6">
      <w:pPr>
        <w:pStyle w:val="Document"/>
      </w:pPr>
      <w:r w:rsidRPr="0004402C">
        <w:t>Thus, in this paradigm, platforms are the “New Governors” of online speech.</w:t>
      </w:r>
      <w:r w:rsidRPr="00FB2412">
        <w:rPr>
          <w:rStyle w:val="FootnoteReference"/>
        </w:rPr>
        <w:footnoteReference w:id="137"/>
      </w:r>
      <w:r w:rsidRPr="0004402C">
        <w:t xml:space="preserve"> The development of technology and the internet have pushed much expression online, and the digital platforms that created and still control the infrastructure for online expression have a centralized body, an established set of rules, and procedures to judge content using that set of rules.</w:t>
      </w:r>
      <w:r w:rsidRPr="00FB2412">
        <w:rPr>
          <w:rStyle w:val="FootnoteReference"/>
        </w:rPr>
        <w:footnoteReference w:id="138"/>
      </w:r>
      <w:r w:rsidRPr="0004402C">
        <w:t xml:space="preserve"> Platforms self-regulate these rules and procedures to reflect the norms of their user communities.</w:t>
      </w:r>
      <w:r w:rsidRPr="00FB2412">
        <w:rPr>
          <w:rStyle w:val="FootnoteReference"/>
        </w:rPr>
        <w:footnoteReference w:id="139"/>
      </w:r>
      <w:r w:rsidRPr="0004402C">
        <w:t xml:space="preserve"> However, in light of growing frustration with online hate speech</w:t>
      </w:r>
      <w:r w:rsidR="001745AE">
        <w:t xml:space="preserve">, </w:t>
      </w:r>
      <w:r w:rsidRPr="0004402C">
        <w:t xml:space="preserve">harassment, </w:t>
      </w:r>
      <w:r w:rsidR="001745AE">
        <w:t xml:space="preserve">and </w:t>
      </w:r>
      <w:r w:rsidRPr="0004402C">
        <w:t>misinformation</w:t>
      </w:r>
      <w:r w:rsidR="009C121C">
        <w:t>,</w:t>
      </w:r>
      <w:r w:rsidRPr="0004402C">
        <w:t xml:space="preserve"> a</w:t>
      </w:r>
      <w:r w:rsidR="00C727FD">
        <w:t>s well as</w:t>
      </w:r>
      <w:r w:rsidRPr="0004402C">
        <w:t xml:space="preserve"> increased acquiescence to government requests, platforms have come under fire for opaque content moderation policies.</w:t>
      </w:r>
      <w:r w:rsidRPr="00FB2412">
        <w:rPr>
          <w:rStyle w:val="FootnoteReference"/>
        </w:rPr>
        <w:footnoteReference w:id="140"/>
      </w:r>
    </w:p>
    <w:p w14:paraId="2FB3E061" w14:textId="2533B504" w:rsidR="0004402C" w:rsidRPr="0004402C" w:rsidRDefault="0004402C" w:rsidP="005F79E6">
      <w:pPr>
        <w:pStyle w:val="SubHead2"/>
        <w:numPr>
          <w:ilvl w:val="0"/>
          <w:numId w:val="8"/>
        </w:numPr>
      </w:pPr>
      <w:bookmarkStart w:id="32" w:name="_Toc180790113"/>
      <w:bookmarkStart w:id="33" w:name="_Toc188103318"/>
      <w:r w:rsidRPr="0004402C">
        <w:t>Unconditional Liability Shields: §</w:t>
      </w:r>
      <w:r w:rsidR="007122E9">
        <w:t> </w:t>
      </w:r>
      <w:r w:rsidRPr="0004402C">
        <w:t>230</w:t>
      </w:r>
      <w:bookmarkEnd w:id="32"/>
      <w:bookmarkEnd w:id="33"/>
    </w:p>
    <w:p w14:paraId="22B3C1BB" w14:textId="1563F237" w:rsidR="0004402C" w:rsidRPr="0004402C" w:rsidRDefault="0004402C" w:rsidP="00B37890">
      <w:pPr>
        <w:pStyle w:val="Document"/>
      </w:pPr>
      <w:r w:rsidRPr="0004402C">
        <w:t>This tension is interesting because, in the U.S., whether platforms are responsible for mitigating content-related harms and moderating user generated content is governed in large part by Section 230 of the Communications Decency Act of 1996 (§</w:t>
      </w:r>
      <w:r w:rsidR="007122E9">
        <w:t> </w:t>
      </w:r>
      <w:r w:rsidRPr="0004402C">
        <w:t>230)</w:t>
      </w:r>
      <w:r w:rsidR="00157A7A">
        <w:t>.</w:t>
      </w:r>
      <w:r w:rsidRPr="0004402C">
        <w:t xml:space="preserve"> </w:t>
      </w:r>
      <w:r w:rsidR="00157A7A">
        <w:t>§ 230</w:t>
      </w:r>
      <w:r w:rsidRPr="0004402C">
        <w:t xml:space="preserve"> immunizes platforms from liability arising from user-generated content.</w:t>
      </w:r>
      <w:r w:rsidRPr="00FB2412">
        <w:rPr>
          <w:rStyle w:val="FootnoteReference"/>
        </w:rPr>
        <w:footnoteReference w:id="141"/>
      </w:r>
      <w:r w:rsidRPr="0004402C">
        <w:t xml:space="preserve"> </w:t>
      </w:r>
    </w:p>
    <w:p w14:paraId="19E09E2D" w14:textId="77777777" w:rsidR="0004402C" w:rsidRPr="0004402C" w:rsidRDefault="0004402C" w:rsidP="00CD38E6">
      <w:pPr>
        <w:pStyle w:val="Document"/>
      </w:pPr>
      <w:r w:rsidRPr="0004402C">
        <w:t>Given the fact that platforms’ decisionmakers have a demonstrated interest in preserving free speech,</w:t>
      </w:r>
      <w:r w:rsidRPr="00FB2412">
        <w:rPr>
          <w:rStyle w:val="FootnoteReference"/>
        </w:rPr>
        <w:footnoteReference w:id="142"/>
      </w:r>
      <w:r w:rsidRPr="0004402C">
        <w:t xml:space="preserve"> why do platforms choose to moderate content? One answer is that these platforms have a sense of corporate social responsibility</w:t>
      </w:r>
      <w:r w:rsidR="00234F30">
        <w:t>.</w:t>
      </w:r>
      <w:r w:rsidRPr="0004402C">
        <w:t xml:space="preserve"> </w:t>
      </w:r>
      <w:r w:rsidR="003D01E1">
        <w:t>E</w:t>
      </w:r>
      <w:r w:rsidR="006F5C5B">
        <w:t>ven though</w:t>
      </w:r>
      <w:r w:rsidRPr="0004402C">
        <w:t xml:space="preserve"> platforms would be immunized from liability for their users’ posts, free speech values must be balanced against platforms’ concerns with user safety and harm.</w:t>
      </w:r>
      <w:r w:rsidRPr="00FB2412">
        <w:rPr>
          <w:rStyle w:val="FootnoteReference"/>
        </w:rPr>
        <w:footnoteReference w:id="143"/>
      </w:r>
      <w:r w:rsidRPr="0004402C">
        <w:t xml:space="preserve"> In fact, the desire to remove offensive material online is recognized in §</w:t>
      </w:r>
      <w:r w:rsidR="006E13AA">
        <w:t> </w:t>
      </w:r>
      <w:r w:rsidRPr="0004402C">
        <w:t xml:space="preserve">230’s Good Samaritan provision; this provision does not hold platforms liable for “good faith . . . restrict[ion of] access to or availability of material that the provider </w:t>
      </w:r>
      <w:r w:rsidRPr="0004402C">
        <w:lastRenderedPageBreak/>
        <w:t>or user considers to be obscene, lewd, lascivious, filthy, excessively violent, harassing, or otherwise objectionable, whether or not such material is constitutionally protected.”</w:t>
      </w:r>
      <w:r w:rsidRPr="00FB2412">
        <w:rPr>
          <w:rStyle w:val="FootnoteReference"/>
        </w:rPr>
        <w:footnoteReference w:id="144"/>
      </w:r>
    </w:p>
    <w:p w14:paraId="235957BF" w14:textId="77777777" w:rsidR="0004402C" w:rsidRPr="0004402C" w:rsidRDefault="0004402C" w:rsidP="00CD38E6">
      <w:pPr>
        <w:pStyle w:val="Document"/>
      </w:pPr>
      <w:r w:rsidRPr="0004402C">
        <w:t xml:space="preserve">It is difficult to believe that only corporate social responsibility drives a platform’s decision to moderate content, though. If platforms are concerned with creating a safe space for their users and protecting their users from harm, it is also because they are </w:t>
      </w:r>
      <w:r w:rsidRPr="4B774E0D">
        <w:rPr>
          <w:i/>
          <w:iCs/>
        </w:rPr>
        <w:t>economically</w:t>
      </w:r>
      <w:r w:rsidRPr="0004402C">
        <w:t xml:space="preserve"> driven to do so</w:t>
      </w:r>
      <w:r w:rsidR="007F150B">
        <w:t>.</w:t>
      </w:r>
      <w:r w:rsidR="0089707A">
        <w:t xml:space="preserve"> </w:t>
      </w:r>
      <w:r w:rsidR="007F150B">
        <w:t>I</w:t>
      </w:r>
      <w:r w:rsidRPr="0004402C">
        <w:t>n order to remain economically viable, these platforms need an active user base generating ad revenue.</w:t>
      </w:r>
      <w:r w:rsidRPr="00FB2412">
        <w:rPr>
          <w:rStyle w:val="FootnoteReference"/>
        </w:rPr>
        <w:footnoteReference w:id="145"/>
      </w:r>
      <w:r w:rsidRPr="0004402C">
        <w:t xml:space="preserve"> Allowing </w:t>
      </w:r>
      <w:r w:rsidRPr="4B774E0D">
        <w:rPr>
          <w:i/>
          <w:iCs/>
        </w:rPr>
        <w:t>all</w:t>
      </w:r>
      <w:r w:rsidRPr="0004402C">
        <w:t xml:space="preserve"> content, including offensive content, to remain on platforms risks making users uncomfortable and unwilling to use or visit the platform.</w:t>
      </w:r>
      <w:r w:rsidRPr="00FB2412">
        <w:rPr>
          <w:rStyle w:val="FootnoteReference"/>
        </w:rPr>
        <w:footnoteReference w:id="146"/>
      </w:r>
      <w:r w:rsidRPr="0004402C">
        <w:t xml:space="preserve"> Ensuring a safe space for users by reflecting their speech norms and expectations encourages user engagement.</w:t>
      </w:r>
      <w:r w:rsidRPr="00FB2412">
        <w:rPr>
          <w:rStyle w:val="FootnoteReference"/>
        </w:rPr>
        <w:footnoteReference w:id="147"/>
      </w:r>
      <w:r w:rsidRPr="0004402C">
        <w:t xml:space="preserve"> This economic motivation incentivizes platforms to create echo chambers</w:t>
      </w:r>
      <w:r w:rsidR="005D49D5">
        <w:t>. I</w:t>
      </w:r>
      <w:r w:rsidRPr="0004402C">
        <w:t>n order to have the highest user engagement</w:t>
      </w:r>
      <w:r w:rsidR="00722571">
        <w:t>,</w:t>
      </w:r>
      <w:r w:rsidRPr="0004402C">
        <w:t xml:space="preserve"> and therefore the highest revenue, it is in the economic interests </w:t>
      </w:r>
      <w:r>
        <w:t xml:space="preserve">of platforms </w:t>
      </w:r>
      <w:r w:rsidRPr="0004402C">
        <w:t xml:space="preserve">to remove antinormative content and create filtering mechanisms </w:t>
      </w:r>
      <w:r>
        <w:t xml:space="preserve">that </w:t>
      </w:r>
      <w:r w:rsidRPr="0004402C">
        <w:t xml:space="preserve">allow users to </w:t>
      </w:r>
      <w:r w:rsidR="0069471D">
        <w:t xml:space="preserve">see only </w:t>
      </w:r>
      <w:r w:rsidRPr="0004402C">
        <w:t>the content</w:t>
      </w:r>
      <w:r>
        <w:t xml:space="preserve"> they want to see</w:t>
      </w:r>
      <w:r w:rsidRPr="0004402C">
        <w:t>.</w:t>
      </w:r>
      <w:r w:rsidRPr="00FB2412">
        <w:rPr>
          <w:rStyle w:val="FootnoteReference"/>
        </w:rPr>
        <w:footnoteReference w:id="148"/>
      </w:r>
    </w:p>
    <w:p w14:paraId="7124A8AF" w14:textId="77777777" w:rsidR="0004402C" w:rsidRPr="0004402C" w:rsidRDefault="0004402C" w:rsidP="00CD38E6">
      <w:pPr>
        <w:pStyle w:val="Document"/>
      </w:pPr>
      <w:r w:rsidRPr="0004402C">
        <w:t>For GitHub, §</w:t>
      </w:r>
      <w:r w:rsidR="006F3BCA">
        <w:t> </w:t>
      </w:r>
      <w:r w:rsidRPr="0004402C">
        <w:t>230 is integral to providing a platform for social coding. According to GitHub’s Chief Legal Officer Shelley McKinley, GitHub relies on §</w:t>
      </w:r>
      <w:r w:rsidR="006F3BCA">
        <w:t> </w:t>
      </w:r>
      <w:r w:rsidRPr="0004402C">
        <w:t>230 protection for both hosting user-generated content—i.e., the source code of developers who use GitHub to collaborate—and engaging in good-faith efforts to moderate said content.</w:t>
      </w:r>
      <w:r w:rsidRPr="00FB2412">
        <w:rPr>
          <w:rStyle w:val="FootnoteReference"/>
        </w:rPr>
        <w:footnoteReference w:id="149"/>
      </w:r>
      <w:r w:rsidRPr="0004402C">
        <w:t xml:space="preserve"> McKinley attributes GitHub’s success and growth </w:t>
      </w:r>
      <w:r>
        <w:t xml:space="preserve">as a platform </w:t>
      </w:r>
      <w:r w:rsidRPr="0004402C">
        <w:t>to §</w:t>
      </w:r>
      <w:r w:rsidR="006F3BCA">
        <w:t> </w:t>
      </w:r>
      <w:r w:rsidRPr="0004402C">
        <w:t>230’s intermediary liability protections.</w:t>
      </w:r>
      <w:r w:rsidRPr="00FB2412">
        <w:rPr>
          <w:rStyle w:val="FootnoteReference"/>
        </w:rPr>
        <w:footnoteReference w:id="150"/>
      </w:r>
      <w:r w:rsidRPr="0004402C">
        <w:t xml:space="preserve"> An amicus brief filed in response to the California Court of Appeal ordering Yelp, an intermediary platform, to remove defamatory content</w:t>
      </w:r>
      <w:r>
        <w:t xml:space="preserve"> uploaded by a user</w:t>
      </w:r>
      <w:r w:rsidRPr="0004402C">
        <w:t xml:space="preserve"> in </w:t>
      </w:r>
      <w:r w:rsidRPr="4B774E0D">
        <w:rPr>
          <w:i/>
          <w:iCs/>
        </w:rPr>
        <w:t>Hassell v. Bird</w:t>
      </w:r>
      <w:r w:rsidRPr="0004402C">
        <w:t xml:space="preserve"> details the potential effect of losing </w:t>
      </w:r>
      <w:r>
        <w:t xml:space="preserve">the </w:t>
      </w:r>
      <w:r w:rsidRPr="0004402C">
        <w:t>broad platform immunity</w:t>
      </w:r>
      <w:r>
        <w:t xml:space="preserve"> currently provided by § 230</w:t>
      </w:r>
      <w:r w:rsidRPr="0004402C">
        <w:t>: “The forced removal of a single line of code or a comment could fatally disrupt a burgeoning online business or organization, many of which host the entirety of their source code on GitHub.”</w:t>
      </w:r>
      <w:r w:rsidRPr="00FB2412">
        <w:rPr>
          <w:rStyle w:val="FootnoteReference"/>
        </w:rPr>
        <w:footnoteReference w:id="151"/>
      </w:r>
    </w:p>
    <w:p w14:paraId="1DC47963" w14:textId="7F51688B" w:rsidR="0004402C" w:rsidRPr="0004402C" w:rsidRDefault="0004402C" w:rsidP="00CD38E6">
      <w:pPr>
        <w:pStyle w:val="Document"/>
      </w:pPr>
      <w:r w:rsidRPr="0004402C">
        <w:lastRenderedPageBreak/>
        <w:t>Although the U.S. has not been so quick to alter the existing legal landscape for content moderation on platforms, there have been multiple bills proposed in Congress targeting §</w:t>
      </w:r>
      <w:r w:rsidR="00FC3AEA">
        <w:t> </w:t>
      </w:r>
      <w:r w:rsidRPr="0004402C">
        <w:t>230.</w:t>
      </w:r>
      <w:r w:rsidRPr="00FB2412">
        <w:rPr>
          <w:rStyle w:val="FootnoteReference"/>
        </w:rPr>
        <w:footnoteReference w:id="152"/>
      </w:r>
      <w:r w:rsidRPr="0004402C">
        <w:t xml:space="preserve"> These proposals aim to address perceived problems with platforms’ broad immunizations, such as concerns with the underlying user-generated content, platforms’ economic incentives to create polarizing echo chambers, and platforms’ lack of transparency about their content moderation policies.</w:t>
      </w:r>
    </w:p>
    <w:p w14:paraId="15718A48" w14:textId="011F575B" w:rsidR="0004402C" w:rsidRPr="0004402C" w:rsidRDefault="0004402C" w:rsidP="00CD38E6">
      <w:pPr>
        <w:pStyle w:val="Document"/>
      </w:pPr>
      <w:r w:rsidRPr="0004402C">
        <w:t>At the most extreme, the Abandoning Online Censorship Act repeals §</w:t>
      </w:r>
      <w:r w:rsidR="00FC3AEA">
        <w:t> </w:t>
      </w:r>
      <w:r w:rsidRPr="0004402C">
        <w:t>230 altogether.</w:t>
      </w:r>
      <w:r w:rsidRPr="00FB2412">
        <w:rPr>
          <w:rStyle w:val="FootnoteReference"/>
        </w:rPr>
        <w:footnoteReference w:id="153"/>
      </w:r>
      <w:r w:rsidRPr="0004402C">
        <w:t xml:space="preserve"> The Limiting Section 230 Immunity to Good Samaritans Act requires platforms to act “in good faith” to receive §</w:t>
      </w:r>
      <w:r w:rsidR="00FC3AEA">
        <w:t> </w:t>
      </w:r>
      <w:r w:rsidRPr="0004402C">
        <w:t>230 protection.</w:t>
      </w:r>
      <w:r w:rsidRPr="00FB2412">
        <w:rPr>
          <w:rStyle w:val="FootnoteReference"/>
        </w:rPr>
        <w:footnoteReference w:id="154"/>
      </w:r>
      <w:r w:rsidRPr="0004402C">
        <w:t xml:space="preserve"> “[A]ct</w:t>
      </w:r>
      <w:r w:rsidR="00F62E10">
        <w:t>[</w:t>
      </w:r>
      <w:r w:rsidRPr="0004402C">
        <w:t>ing</w:t>
      </w:r>
      <w:r w:rsidR="00F62E10">
        <w:t>]</w:t>
      </w:r>
      <w:r w:rsidRPr="0004402C">
        <w:t xml:space="preserve"> in good faith” would </w:t>
      </w:r>
      <w:r w:rsidRPr="4B774E0D">
        <w:rPr>
          <w:i/>
          <w:iCs/>
        </w:rPr>
        <w:t>not</w:t>
      </w:r>
      <w:r w:rsidRPr="0004402C">
        <w:t xml:space="preserve"> be fulfilled if the platform selectively enforces the terms of service, fails to honor a public or private promise, or any other intentional action taken with fraudulent intent.</w:t>
      </w:r>
      <w:r w:rsidRPr="00FB2412">
        <w:rPr>
          <w:rStyle w:val="FootnoteReference"/>
        </w:rPr>
        <w:footnoteReference w:id="155"/>
      </w:r>
      <w:r w:rsidRPr="0004402C">
        <w:t xml:space="preserve"> </w:t>
      </w:r>
    </w:p>
    <w:p w14:paraId="3FD2B24A" w14:textId="28F33948" w:rsidR="0004402C" w:rsidRPr="0004402C" w:rsidRDefault="0004402C" w:rsidP="00CD38E6">
      <w:pPr>
        <w:pStyle w:val="Document"/>
      </w:pPr>
      <w:r w:rsidRPr="0004402C">
        <w:t xml:space="preserve">The Safeguarding Against Fraud, Exploitation, Threats, Extremism, and Consumer Harms (SAFE TECH) Act excludes </w:t>
      </w:r>
      <w:r>
        <w:t>from §</w:t>
      </w:r>
      <w:r w:rsidR="00E6320E">
        <w:t> </w:t>
      </w:r>
      <w:r>
        <w:t xml:space="preserve">230 protection platforms that do not </w:t>
      </w:r>
      <w:r w:rsidRPr="0004402C">
        <w:t>remove content pursuant to a court order and states that §</w:t>
      </w:r>
      <w:r w:rsidR="0067765F">
        <w:t> </w:t>
      </w:r>
      <w:r w:rsidRPr="0004402C">
        <w:t>230 would have no effect on laws concerning civil rights; antitrust; stalking, harassment, or intimidation; international human rights; or wrongful death actions.</w:t>
      </w:r>
      <w:r w:rsidRPr="00FB2412">
        <w:rPr>
          <w:rStyle w:val="FootnoteReference"/>
        </w:rPr>
        <w:footnoteReference w:id="156"/>
      </w:r>
      <w:r w:rsidRPr="0004402C">
        <w:t xml:space="preserve"> </w:t>
      </w:r>
    </w:p>
    <w:p w14:paraId="110E9B53" w14:textId="657F7280" w:rsidR="0004402C" w:rsidRPr="0004402C" w:rsidRDefault="0004402C" w:rsidP="00CD38E6">
      <w:pPr>
        <w:pStyle w:val="Document"/>
      </w:pPr>
      <w:r w:rsidRPr="0004402C">
        <w:t>The Biased Algorithm Deterrence Act of 2019 requires platforms to display content in only chronological order to receive §</w:t>
      </w:r>
      <w:r w:rsidR="0067765F">
        <w:t> </w:t>
      </w:r>
      <w:r w:rsidRPr="0004402C">
        <w:t>230 protections.</w:t>
      </w:r>
      <w:r w:rsidRPr="00FB2412">
        <w:rPr>
          <w:rStyle w:val="FootnoteReference"/>
        </w:rPr>
        <w:footnoteReference w:id="157"/>
      </w:r>
      <w:r w:rsidRPr="0004402C">
        <w:t xml:space="preserve"> The Don’t Push My Buttons Act excludes from §</w:t>
      </w:r>
      <w:r w:rsidR="0067765F">
        <w:t> </w:t>
      </w:r>
      <w:r w:rsidRPr="0004402C">
        <w:t xml:space="preserve">230 protection </w:t>
      </w:r>
      <w:r>
        <w:t>platforms that curate content shown to users based on their personal data without their affirmative consent</w:t>
      </w:r>
      <w:r w:rsidRPr="0004402C">
        <w:t>.</w:t>
      </w:r>
      <w:r w:rsidRPr="00FB2412">
        <w:rPr>
          <w:rStyle w:val="FootnoteReference"/>
        </w:rPr>
        <w:footnoteReference w:id="158"/>
      </w:r>
      <w:r w:rsidRPr="0004402C">
        <w:t xml:space="preserve"> The Break Up Big Tech Act of 2020 excludes from §</w:t>
      </w:r>
      <w:r w:rsidR="0024393D">
        <w:t> </w:t>
      </w:r>
      <w:r w:rsidRPr="0004402C">
        <w:t>230 protection</w:t>
      </w:r>
      <w:r>
        <w:t xml:space="preserve"> platforms that sell advertising that is displayed to users based on user information and behavior without the user opting in</w:t>
      </w:r>
      <w:r w:rsidRPr="0004402C">
        <w:t>.</w:t>
      </w:r>
      <w:r w:rsidRPr="00FB2412">
        <w:rPr>
          <w:rStyle w:val="FootnoteReference"/>
        </w:rPr>
        <w:footnoteReference w:id="159"/>
      </w:r>
      <w:r w:rsidRPr="0004402C">
        <w:t xml:space="preserve"> The Behavioral Advertising Decisions Are Downgrading Services (BAD ADS) Act excludes from §</w:t>
      </w:r>
      <w:r w:rsidR="0024393D">
        <w:t> </w:t>
      </w:r>
      <w:r w:rsidRPr="0004402C">
        <w:t>230 protection</w:t>
      </w:r>
      <w:r>
        <w:t xml:space="preserve"> platforms that engage in any behavioral advertising</w:t>
      </w:r>
      <w:r w:rsidRPr="0004402C">
        <w:t>.</w:t>
      </w:r>
      <w:r w:rsidRPr="00FB2412">
        <w:rPr>
          <w:rStyle w:val="FootnoteReference"/>
        </w:rPr>
        <w:footnoteReference w:id="160"/>
      </w:r>
    </w:p>
    <w:p w14:paraId="78697BD7" w14:textId="7A32D54E" w:rsidR="0004402C" w:rsidRPr="0004402C" w:rsidRDefault="0004402C" w:rsidP="00CD38E6">
      <w:pPr>
        <w:pStyle w:val="Document"/>
      </w:pPr>
      <w:r w:rsidRPr="0004402C">
        <w:lastRenderedPageBreak/>
        <w:t xml:space="preserve">The Internet Platform Accountability and Consumer Transparency (Internet PACT) Act calls for </w:t>
      </w:r>
      <w:r w:rsidR="00A4509C">
        <w:t xml:space="preserve">§ 230 to include </w:t>
      </w:r>
      <w:r w:rsidR="001E2D60">
        <w:t>additional</w:t>
      </w:r>
      <w:r w:rsidRPr="0004402C">
        <w:t xml:space="preserve"> notice-and-takedown processes and transparency obligations</w:t>
      </w:r>
      <w:r w:rsidR="00083E39">
        <w:t xml:space="preserve">, </w:t>
      </w:r>
      <w:r w:rsidR="001C1B9E">
        <w:t xml:space="preserve">such as requiring platforms to publish </w:t>
      </w:r>
      <w:r w:rsidRPr="0004402C">
        <w:t xml:space="preserve">acceptable use policies and biannual transparency reports that include information like the total number of unique monthly visitors to the site, </w:t>
      </w:r>
      <w:r>
        <w:t>as well as</w:t>
      </w:r>
      <w:r w:rsidRPr="0004402C">
        <w:t xml:space="preserve"> the number of times the platform </w:t>
      </w:r>
      <w:r>
        <w:t xml:space="preserve">did and did not </w:t>
      </w:r>
      <w:r w:rsidRPr="0004402C">
        <w:t>respond to flagged content reports (separated into two metrics).</w:t>
      </w:r>
      <w:r w:rsidRPr="00FB2412">
        <w:rPr>
          <w:rStyle w:val="FootnoteReference"/>
        </w:rPr>
        <w:footnoteReference w:id="161"/>
      </w:r>
    </w:p>
    <w:p w14:paraId="01C0EC42" w14:textId="0A54C868" w:rsidR="0004402C" w:rsidRPr="0004402C" w:rsidRDefault="0004402C" w:rsidP="00CD38E6">
      <w:pPr>
        <w:pStyle w:val="Document"/>
      </w:pPr>
      <w:r w:rsidRPr="0004402C">
        <w:t xml:space="preserve">Interestingly, many of these proposals target substantive content and require platforms to act as interpreters of the law, as opposed to the European approach centered around procedural due diligence. </w:t>
      </w:r>
    </w:p>
    <w:p w14:paraId="61344AE9" w14:textId="39C8F9A0" w:rsidR="0004402C" w:rsidRPr="0004402C" w:rsidRDefault="0004402C" w:rsidP="005F79E6">
      <w:pPr>
        <w:pStyle w:val="SubHead2"/>
        <w:numPr>
          <w:ilvl w:val="0"/>
          <w:numId w:val="8"/>
        </w:numPr>
      </w:pPr>
      <w:bookmarkStart w:id="34" w:name="_Toc180790114"/>
      <w:bookmarkStart w:id="35" w:name="_Toc188103319"/>
      <w:r w:rsidRPr="0004402C">
        <w:t>Not</w:t>
      </w:r>
      <w:r w:rsidR="004B0F16">
        <w:t>ic</w:t>
      </w:r>
      <w:r w:rsidRPr="0004402C">
        <w:t>e &amp; Takedown with Reporting Obligations: The EU’s Electronic Commerce Directive &amp; Digital Services Act</w:t>
      </w:r>
      <w:bookmarkEnd w:id="34"/>
      <w:bookmarkEnd w:id="35"/>
    </w:p>
    <w:p w14:paraId="73D2F3C0" w14:textId="7EDDF3FF" w:rsidR="00B37890" w:rsidRDefault="0004402C" w:rsidP="00B37890">
      <w:pPr>
        <w:pStyle w:val="Document"/>
      </w:pPr>
      <w:r w:rsidRPr="0004402C">
        <w:t>In Europe, where government regulation is generally interpreted to protect citizens from excessive private power,</w:t>
      </w:r>
      <w:r w:rsidRPr="00FB2412">
        <w:rPr>
          <w:rStyle w:val="FootnoteReference"/>
        </w:rPr>
        <w:footnoteReference w:id="162"/>
      </w:r>
      <w:r w:rsidRPr="0004402C">
        <w:t xml:space="preserve"> concerns </w:t>
      </w:r>
      <w:r w:rsidR="00151A09">
        <w:t xml:space="preserve">over </w:t>
      </w:r>
      <w:r w:rsidRPr="0004402C">
        <w:t>hate speech, misinformation,</w:t>
      </w:r>
      <w:r w:rsidR="00151A09">
        <w:t xml:space="preserve"> and other content proliferated on platforms, as well as </w:t>
      </w:r>
      <w:r w:rsidRPr="0004402C">
        <w:t>platforms’ lack of transparency in their internal content moderation rules</w:t>
      </w:r>
      <w:r w:rsidRPr="0004402C" w:rsidDel="00B87FD8">
        <w:t xml:space="preserve"> </w:t>
      </w:r>
      <w:r w:rsidRPr="0004402C">
        <w:t>have manifested in the Electronic Commerce Directive (e-Commerce Directive) and the Digital Services Act (DSA)’s subsequent revisions.</w:t>
      </w:r>
    </w:p>
    <w:p w14:paraId="7A906B40" w14:textId="77777777" w:rsidR="0004402C" w:rsidRPr="0004402C" w:rsidRDefault="0004402C" w:rsidP="00CD38E6">
      <w:pPr>
        <w:pStyle w:val="Document"/>
      </w:pPr>
      <w:r w:rsidRPr="0004402C">
        <w:t>The e-Commerce Directive aims “to create a legal framework to ensure the free movement of information society services between Member States</w:t>
      </w:r>
      <w:r>
        <w:t>.</w:t>
      </w:r>
      <w:r w:rsidRPr="0004402C">
        <w:t>”</w:t>
      </w:r>
      <w:r w:rsidRPr="00FB2412">
        <w:rPr>
          <w:rStyle w:val="FootnoteReference"/>
        </w:rPr>
        <w:footnoteReference w:id="163"/>
      </w:r>
      <w:r w:rsidRPr="0004402C">
        <w:t xml:space="preserve"> Towards that end, the Directive establishes minimum requirements regarding the </w:t>
      </w:r>
      <w:r>
        <w:t xml:space="preserve">service provider </w:t>
      </w:r>
      <w:r w:rsidRPr="0004402C">
        <w:t>information that must be accessible to consumers and authorities, the nature and content of commercial communications like promotional offers and advertisements, and the information contained in and processes for engaging in online order contracts.</w:t>
      </w:r>
      <w:r w:rsidRPr="00FB2412">
        <w:rPr>
          <w:rStyle w:val="FootnoteReference"/>
        </w:rPr>
        <w:footnoteReference w:id="164"/>
      </w:r>
      <w:r w:rsidRPr="0004402C">
        <w:t xml:space="preserve"> Importantly, the Directive provides liability exemptions for online intermediaries—comprised of mere conduit, caching, and hosting services—if the service provider has “actual knowledge” of illegal activity or information, or if a court or administrative authority has ordered the </w:t>
      </w:r>
      <w:r w:rsidRPr="0004402C">
        <w:lastRenderedPageBreak/>
        <w:t>removal or disablement of information, and “acts expeditiously to remove or to disable access to” such information.</w:t>
      </w:r>
      <w:r w:rsidRPr="00FB2412">
        <w:rPr>
          <w:rStyle w:val="FootnoteReference"/>
        </w:rPr>
        <w:footnoteReference w:id="165"/>
      </w:r>
      <w:r w:rsidRPr="0004402C">
        <w:t xml:space="preserve"> The Directive also </w:t>
      </w:r>
      <w:r>
        <w:t xml:space="preserve">explicitly </w:t>
      </w:r>
      <w:r w:rsidRPr="0004402C">
        <w:t>does not impose a “general obligation on providers . . . to monitor the information which they transmit or store, nor a general obligation actively to seek facts or circumstances indicating illegal activity.”</w:t>
      </w:r>
      <w:r w:rsidRPr="00FB2412">
        <w:rPr>
          <w:rStyle w:val="FootnoteReference"/>
        </w:rPr>
        <w:footnoteReference w:id="166"/>
      </w:r>
      <w:r w:rsidRPr="0004402C">
        <w:t xml:space="preserve"> The Directive leaves </w:t>
      </w:r>
      <w:r>
        <w:t xml:space="preserve">to </w:t>
      </w:r>
      <w:r w:rsidRPr="0004402C">
        <w:t xml:space="preserve">Member States the option </w:t>
      </w:r>
      <w:r>
        <w:t xml:space="preserve">of obligating </w:t>
      </w:r>
      <w:r w:rsidRPr="0004402C">
        <w:t>intermediaries to inform the relevant public authorities of alleged illegal activity or information.</w:t>
      </w:r>
      <w:r w:rsidRPr="00FB2412">
        <w:rPr>
          <w:rStyle w:val="FootnoteReference"/>
        </w:rPr>
        <w:footnoteReference w:id="167"/>
      </w:r>
      <w:r w:rsidRPr="0004402C">
        <w:t xml:space="preserve"> </w:t>
      </w:r>
    </w:p>
    <w:p w14:paraId="66C0A5DE" w14:textId="77777777" w:rsidR="0004402C" w:rsidRPr="0004402C" w:rsidRDefault="0004402C" w:rsidP="00CD38E6">
      <w:pPr>
        <w:pStyle w:val="Document"/>
      </w:pPr>
      <w:r w:rsidRPr="0004402C">
        <w:t>The DSA builds on the e-Commerce Directive, imposing procedural, due diligence requirements on online intermediaries, such as platforms, that target their services to Europeans; these requirements aim to ensure “a safe, predictable and trustworthy online environment.”</w:t>
      </w:r>
      <w:r w:rsidRPr="00FB2412">
        <w:rPr>
          <w:rStyle w:val="FootnoteReference"/>
        </w:rPr>
        <w:footnoteReference w:id="168"/>
      </w:r>
      <w:r w:rsidRPr="0004402C">
        <w:t xml:space="preserve"> The DSA targets the internal processes and designs of online intermediaries, not the substantive content itself.</w:t>
      </w:r>
      <w:r w:rsidRPr="00FB2412">
        <w:rPr>
          <w:rStyle w:val="FootnoteReference"/>
        </w:rPr>
        <w:footnoteReference w:id="169"/>
      </w:r>
      <w:r w:rsidRPr="0004402C">
        <w:t xml:space="preserve"> The DSA also separates due diligence obligations from liability for underlying content: an intermediary is liable for failing to meet its due diligence obligations, even where it is not liable for user-generated content.</w:t>
      </w:r>
      <w:r w:rsidRPr="00FB2412">
        <w:rPr>
          <w:rStyle w:val="FootnoteReference"/>
        </w:rPr>
        <w:footnoteReference w:id="170"/>
      </w:r>
    </w:p>
    <w:p w14:paraId="5CF130C5" w14:textId="2624A452" w:rsidR="0004402C" w:rsidRPr="0004402C" w:rsidRDefault="0004402C" w:rsidP="00CD38E6">
      <w:pPr>
        <w:pStyle w:val="Document"/>
      </w:pPr>
      <w:r w:rsidRPr="0004402C">
        <w:t>The DSA contains four tiers of cumulative obligations based on the size and reach of the online intermediary: universal obligations that apply to all online intermediaries, including mere conduit, caching, and hosting services; basic obligations that apply to all hosting services, regardless of size; advanced obligations that apply to medium-sized or bigger online platforms</w:t>
      </w:r>
      <w:r>
        <w:t>, defined as platforms with more than</w:t>
      </w:r>
      <w:r w:rsidRPr="0004402C">
        <w:t xml:space="preserve"> 50 employees or </w:t>
      </w:r>
      <w:r>
        <w:t xml:space="preserve">with </w:t>
      </w:r>
      <w:r w:rsidRPr="0004402C">
        <w:t>€10 million turnover</w:t>
      </w:r>
      <w:r>
        <w:t xml:space="preserve"> or balance sheet</w:t>
      </w:r>
      <w:r w:rsidRPr="0004402C">
        <w:t>; and special obligations that apply to very large online platforms and very large online search engines that reach roughly 10% of the population of the European Union (i.e., 45 million monthly average active users).</w:t>
      </w:r>
      <w:r w:rsidRPr="00FB2412">
        <w:rPr>
          <w:rStyle w:val="FootnoteReference"/>
        </w:rPr>
        <w:footnoteReference w:id="171"/>
      </w:r>
      <w:r w:rsidRPr="0004402C">
        <w:t xml:space="preserve"> Noteworthy due diligence obligations </w:t>
      </w:r>
      <w:r w:rsidR="00D35915">
        <w:t xml:space="preserve">for each tier </w:t>
      </w:r>
      <w:r w:rsidRPr="0004402C">
        <w:t>are listed below. Online intermediaries must:</w:t>
      </w:r>
    </w:p>
    <w:p w14:paraId="2BE8CA50" w14:textId="76F650D8" w:rsidR="0004402C" w:rsidRPr="0004402C" w:rsidRDefault="0004402C" w:rsidP="00CD38E6">
      <w:pPr>
        <w:pStyle w:val="Document"/>
      </w:pPr>
      <w:r w:rsidRPr="0004402C">
        <w:rPr>
          <w:i/>
          <w:iCs/>
        </w:rPr>
        <w:lastRenderedPageBreak/>
        <w:t>Universal</w:t>
      </w:r>
      <w:r w:rsidRPr="0004402C">
        <w:t>: explain in their terms and conditions whether and how they implement content moderation policies (such as internal complaint systems), including whether they use automation, and publish annual transparency reports containing information on the orders from authorities about removing content.</w:t>
      </w:r>
      <w:r w:rsidR="0080192B">
        <w:rPr>
          <w:rStyle w:val="FootnoteReference"/>
        </w:rPr>
        <w:footnoteReference w:id="172"/>
      </w:r>
    </w:p>
    <w:p w14:paraId="1CA62340" w14:textId="2899349C" w:rsidR="0004402C" w:rsidRPr="0004402C" w:rsidRDefault="0004402C" w:rsidP="00CD38E6">
      <w:pPr>
        <w:pStyle w:val="Document"/>
      </w:pPr>
      <w:r w:rsidRPr="0004402C">
        <w:rPr>
          <w:i/>
          <w:iCs/>
        </w:rPr>
        <w:t>Basic</w:t>
      </w:r>
      <w:r w:rsidRPr="0004402C">
        <w:t>: conduct fair content moderation, such as keeping the complaining party informed of the status of their complaint and, if content or accounts have been restricted or demonetized, providing explanations to the affected party.</w:t>
      </w:r>
      <w:r w:rsidR="0080192B">
        <w:rPr>
          <w:rStyle w:val="FootnoteReference"/>
        </w:rPr>
        <w:footnoteReference w:id="173"/>
      </w:r>
    </w:p>
    <w:p w14:paraId="2CA30CF7" w14:textId="7FC436CE" w:rsidR="0004402C" w:rsidRPr="0004402C" w:rsidRDefault="0004402C" w:rsidP="00CD38E6">
      <w:pPr>
        <w:pStyle w:val="Document"/>
      </w:pPr>
      <w:r w:rsidRPr="0004402C">
        <w:rPr>
          <w:i/>
          <w:iCs/>
        </w:rPr>
        <w:t>Advanced</w:t>
      </w:r>
      <w:r w:rsidRPr="0004402C">
        <w:t>: operate a free internal complaint process that allows users to appeal the provider’s content moderation decisions; explain the parameters of and how to influence recommendation algorithms; heightened transparency obligations, including semiannual publication of their number of monthly average users, annual publication of internal and external disputes, and submission of content decisions to a central database maintained by the European Commission.</w:t>
      </w:r>
      <w:r w:rsidR="0080192B">
        <w:rPr>
          <w:rStyle w:val="FootnoteReference"/>
        </w:rPr>
        <w:footnoteReference w:id="174"/>
      </w:r>
    </w:p>
    <w:p w14:paraId="06353AD9" w14:textId="1B1DA62D" w:rsidR="0004402C" w:rsidRPr="0004402C" w:rsidRDefault="0004402C" w:rsidP="00CD38E6">
      <w:pPr>
        <w:pStyle w:val="Document"/>
        <w:rPr>
          <w:bCs/>
          <w:iCs/>
        </w:rPr>
      </w:pPr>
      <w:r w:rsidRPr="4B774E0D">
        <w:rPr>
          <w:i/>
          <w:iCs/>
        </w:rPr>
        <w:t>Special</w:t>
      </w:r>
      <w:r w:rsidRPr="0004402C">
        <w:t>: conduct annual risk reports in connection to use of their services, focusing on illegal conduct,</w:t>
      </w:r>
      <w:r w:rsidRPr="00FB2412">
        <w:rPr>
          <w:rStyle w:val="FootnoteReference"/>
        </w:rPr>
        <w:footnoteReference w:id="175"/>
      </w:r>
      <w:r w:rsidRPr="0004402C">
        <w:t xml:space="preserve"> actual or foreseeable negative effects on fundamental rights</w:t>
      </w:r>
      <w:r w:rsidRPr="00FB2412">
        <w:rPr>
          <w:rStyle w:val="FootnoteReference"/>
        </w:rPr>
        <w:footnoteReference w:id="176"/>
      </w:r>
      <w:r w:rsidRPr="0004402C">
        <w:t xml:space="preserve"> and pre-defined public issues,</w:t>
      </w:r>
      <w:r w:rsidRPr="00FB2412">
        <w:rPr>
          <w:rStyle w:val="FootnoteReference"/>
        </w:rPr>
        <w:footnoteReference w:id="177"/>
      </w:r>
      <w:r w:rsidRPr="0004402C">
        <w:t xml:space="preserve"> and serious negative consequences to users’ physical and mental well-being; provide access to data to supervising authorities and vetted researchers; specify the human resources put into content moderation for the official language of each member state.</w:t>
      </w:r>
      <w:r w:rsidR="0080192B">
        <w:rPr>
          <w:rStyle w:val="FootnoteReference"/>
        </w:rPr>
        <w:footnoteReference w:id="178"/>
      </w:r>
    </w:p>
    <w:p w14:paraId="2F7F42E3" w14:textId="77777777" w:rsidR="00093D23" w:rsidRDefault="0004402C" w:rsidP="00093D23">
      <w:pPr>
        <w:pStyle w:val="Document"/>
      </w:pPr>
      <w:r w:rsidRPr="0004402C">
        <w:t xml:space="preserve">Applying these classifications to the case study of </w:t>
      </w:r>
      <w:r w:rsidR="00EB4CAA">
        <w:t>this</w:t>
      </w:r>
      <w:r w:rsidRPr="0004402C">
        <w:t xml:space="preserve"> paper, GitHub is a hosting platform that is most likely considered to be a medium-sized or bigger firm</w:t>
      </w:r>
      <w:r w:rsidR="00AB3441">
        <w:t>.</w:t>
      </w:r>
      <w:r w:rsidRPr="00FB2412">
        <w:rPr>
          <w:rStyle w:val="FootnoteReference"/>
        </w:rPr>
        <w:footnoteReference w:id="179"/>
      </w:r>
      <w:r w:rsidRPr="0004402C">
        <w:t xml:space="preserve"> These designations mean that </w:t>
      </w:r>
      <w:r w:rsidRPr="0004402C">
        <w:lastRenderedPageBreak/>
        <w:t>GitHub must fulfill universal, basic, and advanced reporting obligations under the DSA. As discussed below, GitHub already fulfills many of these reporting obligations</w:t>
      </w:r>
      <w:r w:rsidR="002C0960">
        <w:t xml:space="preserve"> in its content moderation policies and transparency reports</w:t>
      </w:r>
      <w:r w:rsidRPr="0004402C">
        <w:t xml:space="preserve">. </w:t>
      </w:r>
      <w:r w:rsidR="002C0960">
        <w:t>GitHub’s general privacy statement contains a more limited disclosure</w:t>
      </w:r>
      <w:r w:rsidRPr="0004402C">
        <w:t xml:space="preserve"> regarding the parameters of and influences for</w:t>
      </w:r>
      <w:r w:rsidR="002C0960">
        <w:t xml:space="preserve"> it</w:t>
      </w:r>
      <w:r w:rsidRPr="0004402C">
        <w:t>s recommendation algorithms</w:t>
      </w:r>
      <w:r w:rsidR="002C0960">
        <w:t xml:space="preserve">; the general privacy statement provides </w:t>
      </w:r>
      <w:r w:rsidRPr="0004402C">
        <w:t>that GitHub uses personal data and non-essential cookies to make recommendations to its users.</w:t>
      </w:r>
      <w:r w:rsidRPr="00FB2412">
        <w:rPr>
          <w:rStyle w:val="FootnoteReference"/>
        </w:rPr>
        <w:footnoteReference w:id="180"/>
      </w:r>
    </w:p>
    <w:p w14:paraId="21BA92A6" w14:textId="04A1A0AA" w:rsidR="0004402C" w:rsidRPr="0004402C" w:rsidRDefault="0004402C" w:rsidP="00093D23">
      <w:pPr>
        <w:pStyle w:val="SubHead2"/>
        <w:numPr>
          <w:ilvl w:val="0"/>
          <w:numId w:val="8"/>
        </w:numPr>
      </w:pPr>
      <w:bookmarkStart w:id="36" w:name="_Toc180790115"/>
      <w:bookmarkStart w:id="37" w:name="_Toc188103320"/>
      <w:r w:rsidRPr="0004402C">
        <w:t>Self-Regulation by Platforms: GitHub Case Study</w:t>
      </w:r>
      <w:bookmarkEnd w:id="36"/>
      <w:bookmarkEnd w:id="37"/>
    </w:p>
    <w:p w14:paraId="0D98BEE7" w14:textId="7BC31839" w:rsidR="0004402C" w:rsidRPr="0004402C" w:rsidRDefault="0004402C" w:rsidP="00CD38E6">
      <w:pPr>
        <w:pStyle w:val="Document"/>
      </w:pPr>
      <w:r w:rsidRPr="0004402C">
        <w:t>Due to the “social coding” enabling features of many VCS hosting platforms, it is not inconceivable that lawmakers would hold them to these approaches to regulating content moderation on online platforms. Before discussing whether these approaches should apply to VCS hosting platforms, it is first helpful to understand how these platforms currently handle content moderation. Again, due to its popularity among developers, GitHub is a useful case study.</w:t>
      </w:r>
    </w:p>
    <w:p w14:paraId="37E05A2B" w14:textId="491CF9F3" w:rsidR="0004402C" w:rsidRPr="0004402C" w:rsidRDefault="0004402C" w:rsidP="00CD38E6">
      <w:pPr>
        <w:pStyle w:val="Document"/>
      </w:pPr>
      <w:r w:rsidRPr="0004402C">
        <w:t>GitHub has been releasing annual transparency reports covering the previous year since 2015, increasing the frequency of these reports to biannual in 2021, and creating a Transparency Center in 2023.</w:t>
      </w:r>
      <w:r w:rsidRPr="00FB2412">
        <w:rPr>
          <w:rStyle w:val="FootnoteReference"/>
        </w:rPr>
        <w:footnoteReference w:id="181"/>
      </w:r>
      <w:r w:rsidRPr="0004402C">
        <w:t xml:space="preserve"> In the 2022 transparency report, GitHub was explicit about its policy to limit content removal as much as possible.</w:t>
      </w:r>
      <w:r w:rsidRPr="00FB2412">
        <w:rPr>
          <w:rStyle w:val="FootnoteReference"/>
        </w:rPr>
        <w:footnoteReference w:id="182"/>
      </w:r>
      <w:r w:rsidRPr="0004402C">
        <w:t xml:space="preserve"> GitHub follows the Santa Clara Principles on Transparency and Accountability in Content Moderation as well as the content moderation guidelines set forth in the United Nations Human Rights Council </w:t>
      </w:r>
      <w:r w:rsidRPr="0004402C">
        <w:lastRenderedPageBreak/>
        <w:t>report on the promotion and protection of the right to freedom of opinion and expression (to which GitHub contributed).</w:t>
      </w:r>
      <w:r w:rsidRPr="00FB2412">
        <w:rPr>
          <w:rStyle w:val="FootnoteReference"/>
        </w:rPr>
        <w:footnoteReference w:id="183"/>
      </w:r>
      <w:r w:rsidRPr="0004402C">
        <w:t xml:space="preserve"> </w:t>
      </w:r>
    </w:p>
    <w:p w14:paraId="34EFEA94" w14:textId="64E8AC71" w:rsidR="0004402C" w:rsidRPr="0004402C" w:rsidRDefault="0004402C" w:rsidP="00CD38E6">
      <w:pPr>
        <w:pStyle w:val="Document"/>
      </w:pPr>
      <w:r w:rsidRPr="0004402C">
        <w:t>Although there is most likely no way to verify whether GitHub has elaborate internal policies that differ significantly from its public-facing ones, GitHub has open sourced its external-facing site policies.</w:t>
      </w:r>
      <w:r w:rsidRPr="00FB2412">
        <w:rPr>
          <w:rStyle w:val="FootnoteReference"/>
        </w:rPr>
        <w:footnoteReference w:id="184"/>
      </w:r>
      <w:r w:rsidRPr="0004402C">
        <w:t xml:space="preserve"> In a commit on February 10, 2022, GitHub updated its Community Guidelines, removing previous language stating that “[GitHub does] not actively monitor the site for offensive content” to more general language about communication conflicts between users along with a link to GitHub’s abuse report page.</w:t>
      </w:r>
      <w:r w:rsidRPr="00FB2412">
        <w:rPr>
          <w:rStyle w:val="FootnoteReference"/>
        </w:rPr>
        <w:footnoteReference w:id="185"/>
      </w:r>
      <w:r w:rsidRPr="0004402C">
        <w:t xml:space="preserve"> This change reflects a recent trend of platforms more actively engaging in content moderation in response to pressure from lawmakers and the public.</w:t>
      </w:r>
      <w:r w:rsidRPr="00FB2412">
        <w:rPr>
          <w:rStyle w:val="FootnoteReference"/>
        </w:rPr>
        <w:footnoteReference w:id="186"/>
      </w:r>
      <w:r w:rsidRPr="0004402C">
        <w:t xml:space="preserve"> Another external-facing site policy is GitHub’s Terms of Service, which states that users cannot violate the platform’s Acceptable Use Policies or Community Guidelines and links users to those pages.</w:t>
      </w:r>
      <w:r w:rsidRPr="00FB2412">
        <w:rPr>
          <w:rStyle w:val="FootnoteReference"/>
        </w:rPr>
        <w:footnoteReference w:id="187"/>
      </w:r>
      <w:r w:rsidRPr="0004402C">
        <w:t xml:space="preserve"> Each individual page details standards and processes GitHub uses when reviewing user content and behavior, with </w:t>
      </w:r>
      <w:r w:rsidRPr="0004402C">
        <w:lastRenderedPageBreak/>
        <w:t>dozens of phrases hyperlinked to additional pages with more information to provide further clarity.</w:t>
      </w:r>
      <w:r w:rsidRPr="00FB2412">
        <w:rPr>
          <w:rStyle w:val="FootnoteReference"/>
        </w:rPr>
        <w:footnoteReference w:id="188"/>
      </w:r>
    </w:p>
    <w:p w14:paraId="73070A20" w14:textId="3CCFC8E2" w:rsidR="0004402C" w:rsidRPr="0004402C" w:rsidRDefault="0004402C" w:rsidP="00CD38E6">
      <w:pPr>
        <w:pStyle w:val="Document"/>
      </w:pPr>
      <w:r w:rsidRPr="0004402C">
        <w:t>With regard to legal requests for user information and government requests for content removal, GitHub reported the number of requests received, the number of requests complied with, a categorical breakdown of the requests (by type of legal request and country that initiated the request for removal), as well as number of accounts or projects impacted.</w:t>
      </w:r>
      <w:r w:rsidRPr="00FB2412">
        <w:rPr>
          <w:rStyle w:val="FootnoteReference"/>
        </w:rPr>
        <w:footnoteReference w:id="189"/>
      </w:r>
      <w:r w:rsidRPr="0004402C">
        <w:t xml:space="preserve"> To detect and take down content relating to child sexual exploitation and abuse imagery (CSEAI) and terrorist and violent extremist content (TVEC), GitHub specified that it automates detection using PhotoDNA, followed by human review, with an option for users to appeal a content moderation decision made against them.</w:t>
      </w:r>
      <w:r w:rsidRPr="00FB2412">
        <w:rPr>
          <w:rStyle w:val="FootnoteReference"/>
        </w:rPr>
        <w:footnoteReference w:id="190"/>
      </w:r>
      <w:r w:rsidRPr="0004402C">
        <w:t xml:space="preserve"> </w:t>
      </w:r>
      <w:r w:rsidR="002D5CD1">
        <w:t>The use of this automatic detection is a change to GitHub’s 2018 policy and coincides with the trend of platforms more actively engaging in content moderation. In 2018, Git</w:t>
      </w:r>
      <w:r w:rsidR="00310D36">
        <w:t>H</w:t>
      </w:r>
      <w:r w:rsidR="002D5CD1">
        <w:t>ub’s policy was to not use automation in content moderation because GitHub did not think it could do so effectively</w:t>
      </w:r>
      <w:r w:rsidRPr="0004402C">
        <w:t>.</w:t>
      </w:r>
      <w:r w:rsidRPr="00FB2412">
        <w:rPr>
          <w:rStyle w:val="FootnoteReference"/>
        </w:rPr>
        <w:footnoteReference w:id="191"/>
      </w:r>
      <w:r w:rsidRPr="0004402C">
        <w:t xml:space="preserve"> The 2022 Transparency Report set forth actions GitHub can take once it has found an abuse-related violation—such as hiding an account from other users while allowing the account owner to retain access, restricting account access, both hiding and restricting access to the account, and disabling individual projects—and broke down the number of abuse-related restrictions and reinstatements over the year by these actions.</w:t>
      </w:r>
      <w:r w:rsidRPr="00FB2412">
        <w:rPr>
          <w:rStyle w:val="FootnoteReference"/>
        </w:rPr>
        <w:footnoteReference w:id="192"/>
      </w:r>
    </w:p>
    <w:p w14:paraId="701C7013" w14:textId="169B1905" w:rsidR="0004402C" w:rsidRPr="0004402C" w:rsidRDefault="0004402C" w:rsidP="00CD38E6">
      <w:pPr>
        <w:pStyle w:val="Document"/>
      </w:pPr>
      <w:r w:rsidRPr="0004402C">
        <w:t xml:space="preserve">Despite this reporting transparency and openness about its content moderation principles and policies, </w:t>
      </w:r>
      <w:r>
        <w:t>as in</w:t>
      </w:r>
      <w:r w:rsidRPr="0004402C">
        <w:t xml:space="preserve"> the governance context, GitHub relies on open source project moderators to moderate content within their projects and enforce standards of behavior </w:t>
      </w:r>
      <w:r w:rsidRPr="0004402C">
        <w:lastRenderedPageBreak/>
        <w:t>in their communities.</w:t>
      </w:r>
      <w:r w:rsidRPr="00FB2412">
        <w:rPr>
          <w:rStyle w:val="FootnoteReference"/>
        </w:rPr>
        <w:footnoteReference w:id="193"/>
      </w:r>
      <w:r w:rsidRPr="0004402C">
        <w:t xml:space="preserve"> Thus, it may be possible for content moderation, or at least the initial reporting, to look different from project to project. If the open source project itself does not contain clear content moderation principles, users may still lack transparency into decisions that affect their content and/or access to projects. Not only are maintainers responsible for setting and enforcing standards of behavior, they are also (arguably, chiefly) responsible for code quality and security: maintainers manage which contributions are ultimately incorporated into the project, whether through approving pull requests, prioritizing bug reports, or monitoring other feedback and questions.</w:t>
      </w:r>
      <w:r w:rsidRPr="00FB2412">
        <w:rPr>
          <w:rStyle w:val="FootnoteReference"/>
        </w:rPr>
        <w:footnoteReference w:id="194"/>
      </w:r>
      <w:r w:rsidRPr="0004402C">
        <w:t xml:space="preserve"> Maintainers are therefore responsible for not only traditional content moderation problems, but code-specific content concerns as well.</w:t>
      </w:r>
    </w:p>
    <w:p w14:paraId="0E046BE3" w14:textId="1F10E09F" w:rsidR="0004402C" w:rsidRPr="0004402C" w:rsidRDefault="0004402C" w:rsidP="005F79E6">
      <w:pPr>
        <w:pStyle w:val="SubHead1"/>
        <w:numPr>
          <w:ilvl w:val="0"/>
          <w:numId w:val="3"/>
        </w:numPr>
      </w:pPr>
      <w:bookmarkStart w:id="38" w:name="_Toc180790116"/>
      <w:bookmarkStart w:id="39" w:name="_Toc188103321"/>
      <w:r w:rsidRPr="0004402C">
        <w:t>Analyzing Platform Liability for OSS: §</w:t>
      </w:r>
      <w:r w:rsidR="00E2420F">
        <w:t> </w:t>
      </w:r>
      <w:r w:rsidRPr="0004402C">
        <w:t>230 and the DSA</w:t>
      </w:r>
      <w:bookmarkEnd w:id="38"/>
      <w:bookmarkEnd w:id="39"/>
      <w:r w:rsidRPr="0004402C">
        <w:t xml:space="preserve"> </w:t>
      </w:r>
    </w:p>
    <w:p w14:paraId="5AAB94FE" w14:textId="246C3B52" w:rsidR="0004402C" w:rsidRPr="0004402C" w:rsidRDefault="0004402C" w:rsidP="00CD38E6">
      <w:pPr>
        <w:pStyle w:val="Document"/>
      </w:pPr>
      <w:r w:rsidRPr="0004402C">
        <w:t>The DSA and the proposed §</w:t>
      </w:r>
      <w:r w:rsidR="00E2420F">
        <w:t> </w:t>
      </w:r>
      <w:r w:rsidRPr="0004402C">
        <w:t>230 reforms clearly demonstrate that both the EU and the U.S. are interested in imposing increased obligations or liability on platforms hosting user-generated content. But, considering these lawmaking efforts are responses to “techlash” critiques about traditional social media platforms, it is important to explore the effects they might have on VCS hosting platforms</w:t>
      </w:r>
      <w:r w:rsidR="00073251">
        <w:t>,</w:t>
      </w:r>
      <w:r w:rsidRPr="0004402C">
        <w:t xml:space="preserve"> which are covered by §</w:t>
      </w:r>
      <w:r w:rsidR="00E2420F">
        <w:t> </w:t>
      </w:r>
      <w:r w:rsidRPr="0004402C">
        <w:t>230, and</w:t>
      </w:r>
      <w:r w:rsidR="00073251">
        <w:t xml:space="preserve"> on</w:t>
      </w:r>
      <w:r w:rsidRPr="0004402C">
        <w:t xml:space="preserve"> open source software development generally. These potential effects inform the evaluation of whether these responses are appropriate and whether another actor is better suited to address certain content moderation problems.</w:t>
      </w:r>
    </w:p>
    <w:p w14:paraId="037FB097" w14:textId="0D1E379C" w:rsidR="0004402C" w:rsidRPr="0004402C" w:rsidRDefault="0004402C" w:rsidP="005F79E6">
      <w:pPr>
        <w:pStyle w:val="SubHead2"/>
        <w:numPr>
          <w:ilvl w:val="0"/>
          <w:numId w:val="9"/>
        </w:numPr>
      </w:pPr>
      <w:bookmarkStart w:id="40" w:name="_Toc180790117"/>
      <w:bookmarkStart w:id="41" w:name="_Toc188103322"/>
      <w:r w:rsidRPr="0004402C">
        <w:t>Potential Effects of Imposing Increased Obligations or Liability on Platforms</w:t>
      </w:r>
      <w:bookmarkEnd w:id="40"/>
      <w:bookmarkEnd w:id="41"/>
    </w:p>
    <w:p w14:paraId="54A63BF0" w14:textId="1B28C9F6" w:rsidR="0004402C" w:rsidRPr="0004402C" w:rsidRDefault="0004402C" w:rsidP="00CD38E6">
      <w:pPr>
        <w:pStyle w:val="Document"/>
      </w:pPr>
      <w:r>
        <w:t>Current proposals aimed at increasing the liability of platforms for user-generated content—or repealing §</w:t>
      </w:r>
      <w:r w:rsidR="00B37EF0">
        <w:t> </w:t>
      </w:r>
      <w:r>
        <w:t xml:space="preserve">230 altogether—do not adequately contemplate the effect of those proposals on platforms hosting functional content. In addition to the outsized effect of wrongful takedowns due to interdependencies of open source software, increased VCS hosting platform liability </w:t>
      </w:r>
      <w:r w:rsidR="00445E5C">
        <w:t xml:space="preserve">could </w:t>
      </w:r>
      <w:r>
        <w:t xml:space="preserve">chill opensource innovation. </w:t>
      </w:r>
    </w:p>
    <w:p w14:paraId="0856510A" w14:textId="2AE8CC52" w:rsidR="0004402C" w:rsidRPr="0004402C" w:rsidRDefault="0004402C" w:rsidP="00CD38E6">
      <w:pPr>
        <w:pStyle w:val="Document"/>
      </w:pPr>
      <w:r w:rsidRPr="0004402C">
        <w:lastRenderedPageBreak/>
        <w:t>VCSs themselves were built with the goal of facilitating open source development and allowing developers to collaborate on projects.</w:t>
      </w:r>
      <w:r w:rsidRPr="00FB2412">
        <w:rPr>
          <w:rStyle w:val="FootnoteReference"/>
        </w:rPr>
        <w:footnoteReference w:id="195"/>
      </w:r>
      <w:r w:rsidRPr="0004402C">
        <w:t xml:space="preserve"> However, before platforms like GitHub, being involved in these projects meant knowing what you wanted to work on and finding the email thread or discussion forum to join. The platformization of VCSs has lowered the barrier of entry to participation in open source software development: because so many projects are available on one platform, communities are easier to find and contribute to, and graphical user interfaces and social coding features make it easier for inexperienced users to learn from and communicate with more experienced developers. If increased platform liability for user-generated content costs VCS platforms too much, or if VCS platforms are rendered impractical by the §</w:t>
      </w:r>
      <w:r w:rsidR="00B37EF0">
        <w:t> </w:t>
      </w:r>
      <w:r w:rsidRPr="0004402C">
        <w:t>230 proposals that ban platforms from using search and sorting algorithms to display content to users, it may be that open source communities are pushed back into relatively difficult to find email chains and obscure discussion forums, once again increasing the barriers to entry to open source innovation.</w:t>
      </w:r>
    </w:p>
    <w:p w14:paraId="726FA0DB" w14:textId="50770C77" w:rsidR="0004402C" w:rsidRPr="0004402C" w:rsidRDefault="0004402C" w:rsidP="00CD38E6">
      <w:pPr>
        <w:pStyle w:val="Document"/>
      </w:pPr>
      <w:r w:rsidRPr="0004402C">
        <w:t>The transparency obligations imposed by the DSA and certain §</w:t>
      </w:r>
      <w:r w:rsidR="00B37EF0">
        <w:t> </w:t>
      </w:r>
      <w:r w:rsidRPr="0004402C">
        <w:t>230 reform proposals also do not adequately recognize the differences between the expressive content of traditional social media platforms and the functional content of VCS platforms. The “advanced” transparency obligations of the DSA do not require anything more than highest-level aggregated metrics, and the “special” transparency obligations seem to stress traditional expressive content harms.</w:t>
      </w:r>
      <w:r w:rsidRPr="00FB2412">
        <w:rPr>
          <w:rStyle w:val="FootnoteReference"/>
        </w:rPr>
        <w:footnoteReference w:id="196"/>
      </w:r>
      <w:r w:rsidRPr="0004402C">
        <w:t xml:space="preserve"> Even if the DSA or §</w:t>
      </w:r>
      <w:r w:rsidR="00E92EBF">
        <w:t> </w:t>
      </w:r>
      <w:r w:rsidRPr="0004402C">
        <w:t>230 reforms do not mandate more specific reporting, platforms themselves may find it helpful to provide that specificity. GitHub, for example, is adamant that “code is different.”</w:t>
      </w:r>
      <w:r w:rsidRPr="00FB2412">
        <w:rPr>
          <w:rStyle w:val="FootnoteReference"/>
        </w:rPr>
        <w:footnoteReference w:id="197"/>
      </w:r>
      <w:r w:rsidRPr="0004402C">
        <w:t xml:space="preserve"> Yet, its transparency reports simply report all §</w:t>
      </w:r>
      <w:r w:rsidR="00E92EBF">
        <w:t> </w:t>
      </w:r>
      <w:r w:rsidRPr="0004402C">
        <w:t xml:space="preserve">230 takedowns under one aggregated section of “abuse-related violations” without specifying </w:t>
      </w:r>
      <w:r w:rsidR="00331EC5">
        <w:t xml:space="preserve">from </w:t>
      </w:r>
      <w:r w:rsidR="00331EC5">
        <w:rPr>
          <w:i/>
          <w:iCs/>
        </w:rPr>
        <w:t>where</w:t>
      </w:r>
      <w:r w:rsidRPr="0004402C">
        <w:t xml:space="preserve"> those violations came.</w:t>
      </w:r>
      <w:r w:rsidRPr="00FB2412">
        <w:rPr>
          <w:rStyle w:val="FootnoteReference"/>
        </w:rPr>
        <w:footnoteReference w:id="198"/>
      </w:r>
      <w:r w:rsidRPr="0004402C">
        <w:t xml:space="preserve"> </w:t>
      </w:r>
      <w:r w:rsidR="00031175">
        <w:t xml:space="preserve">Whether a violation comes </w:t>
      </w:r>
      <w:r w:rsidR="00031175" w:rsidRPr="0004402C">
        <w:t>from the code itself, documentation and other supporting files, VCS features like commenting on pull requests, or VCS platform features like conversations in issues and bug reporting</w:t>
      </w:r>
      <w:r w:rsidR="00A55708">
        <w:t>,</w:t>
      </w:r>
      <w:r w:rsidR="00031175" w:rsidRPr="0004402C">
        <w:t xml:space="preserve"> </w:t>
      </w:r>
      <w:r w:rsidR="00031175">
        <w:t xml:space="preserve">could indicate the content moderation concern at issue. </w:t>
      </w:r>
      <w:r w:rsidRPr="0004402C">
        <w:t xml:space="preserve">If VCS platforms want to argue that their primary content </w:t>
      </w:r>
      <w:r w:rsidRPr="0004402C">
        <w:lastRenderedPageBreak/>
        <w:t>moderation concerns (code quality and security) are different from those of traditional social media platforms, reporting all of their content moderation decisions under an aggregated metric does not support that narrative. Disaggregating restrictions related to §</w:t>
      </w:r>
      <w:r w:rsidR="00E92EBF">
        <w:t> </w:t>
      </w:r>
      <w:r w:rsidRPr="0004402C">
        <w:t xml:space="preserve">230 would also help track the effects of content moderation policies by providing information </w:t>
      </w:r>
      <w:r w:rsidR="00EA36F8">
        <w:t xml:space="preserve">that may </w:t>
      </w:r>
      <w:r w:rsidRPr="0004402C">
        <w:t>reveal what type of content is most impacted and the extent to which specific types of content are being restricted.</w:t>
      </w:r>
    </w:p>
    <w:p w14:paraId="3F7AE28D" w14:textId="21E1F5B2" w:rsidR="0004402C" w:rsidRPr="0004402C" w:rsidRDefault="00C52A6A" w:rsidP="00CD38E6">
      <w:pPr>
        <w:pStyle w:val="Document"/>
      </w:pPr>
      <w:r>
        <w:t>Of course, even if</w:t>
      </w:r>
      <w:r w:rsidR="0004402C" w:rsidRPr="0004402C">
        <w:t xml:space="preserve"> VCS hosting platforms specify </w:t>
      </w:r>
      <w:r>
        <w:t xml:space="preserve">from where § 230 </w:t>
      </w:r>
      <w:r w:rsidR="00A40A9D">
        <w:t xml:space="preserve">takedowns and restrictions arise, there will be line-drawing problems when interpreting that data and attempting to distinguish whether the § 230 restrictions address </w:t>
      </w:r>
      <w:r w:rsidR="0004402C" w:rsidRPr="0004402C">
        <w:t xml:space="preserve">traditional abuse- and misinformation-related content moderation concerns </w:t>
      </w:r>
      <w:r w:rsidR="004E4E7D">
        <w:t>or</w:t>
      </w:r>
      <w:r w:rsidR="0004402C" w:rsidRPr="0004402C">
        <w:t xml:space="preserve"> code quality and security</w:t>
      </w:r>
      <w:r w:rsidR="004E4E7D">
        <w:t xml:space="preserve"> concerns</w:t>
      </w:r>
      <w:r w:rsidR="0004402C" w:rsidRPr="0004402C">
        <w:t>.</w:t>
      </w:r>
      <w:r w:rsidR="00A76107">
        <w:t xml:space="preserve"> </w:t>
      </w:r>
      <w:r w:rsidR="0004402C" w:rsidRPr="0004402C">
        <w:t>For example, how should commits be treated? The changes to code files themselves may be functional, but what about the accompanying commit messages? The code repository itself may even have expressive elements, such as comments within the code or documentation—should those elements be treated more like content on traditional social media platforms? While it is unlikely line-drawing problems will ever be completely resolved due to VCS platforms building additional communicative, social-media-esque functionality on top of the underlying VCS, content moderation decisions can theoretically be separated based on whether they relate to concerns about abuse and misinformation or about code quality and security.</w:t>
      </w:r>
    </w:p>
    <w:p w14:paraId="685211C3" w14:textId="59C73ABF" w:rsidR="0004402C" w:rsidRPr="0004402C" w:rsidRDefault="0004402C" w:rsidP="00CD38E6">
      <w:pPr>
        <w:pStyle w:val="Document"/>
      </w:pPr>
      <w:r w:rsidRPr="0004402C">
        <w:t>Thus, if we accept the current paradigm—that platforms are best positioned to address the harms of user-generated content, so liability and obligations for such content are appropriately placed on platforms—then policymakers must broaden the scope of their concerns. Policymakers must consider the effects of any proposed legislation or regulation on other kinds of platforms hosting user-generated content and should consider increasing the specificity of transparency obligations.</w:t>
      </w:r>
    </w:p>
    <w:p w14:paraId="2F805E2D" w14:textId="3824245F" w:rsidR="0004402C" w:rsidRPr="00151A09" w:rsidRDefault="0004402C" w:rsidP="005F79E6">
      <w:pPr>
        <w:pStyle w:val="SubHead2"/>
        <w:numPr>
          <w:ilvl w:val="0"/>
          <w:numId w:val="9"/>
        </w:numPr>
      </w:pPr>
      <w:bookmarkStart w:id="42" w:name="_Toc180790118"/>
      <w:bookmarkStart w:id="43" w:name="_Toc188103323"/>
      <w:r w:rsidRPr="00151A09">
        <w:t>Should Liability Be Placed on Platforms?</w:t>
      </w:r>
      <w:bookmarkEnd w:id="42"/>
      <w:bookmarkEnd w:id="43"/>
    </w:p>
    <w:p w14:paraId="6AA9B33F" w14:textId="3BB8D31A" w:rsidR="0004402C" w:rsidRPr="0004402C" w:rsidRDefault="00522F31" w:rsidP="00B37890">
      <w:pPr>
        <w:pStyle w:val="Document"/>
      </w:pPr>
      <w:r>
        <w:t>T</w:t>
      </w:r>
      <w:r w:rsidR="0004402C" w:rsidRPr="0004402C">
        <w:t>he current paradigm is not necessarily the most appropriate</w:t>
      </w:r>
      <w:r w:rsidR="008A5EE7">
        <w:t xml:space="preserve">: </w:t>
      </w:r>
      <w:r w:rsidR="0004402C" w:rsidRPr="0004402C">
        <w:t xml:space="preserve">platforms may not be the best positioned to solve content moderation related harms. Imposing more liability on platforms for user-generated content is unlikely the </w:t>
      </w:r>
      <w:r w:rsidR="00FA3CE5">
        <w:t>solution</w:t>
      </w:r>
      <w:r w:rsidR="00F722F7" w:rsidRPr="0004402C">
        <w:t xml:space="preserve"> </w:t>
      </w:r>
      <w:r w:rsidR="0004402C" w:rsidRPr="0004402C">
        <w:t xml:space="preserve">to addressing content moderation related harms in both the traditional social media context and the functional code context. While platforms should make their content moderation policies and recommendation algorithms more transparent for user predictability and platform </w:t>
      </w:r>
      <w:r w:rsidR="0004402C" w:rsidRPr="0004402C">
        <w:lastRenderedPageBreak/>
        <w:t xml:space="preserve">accountability, these platforms by and large do not have initial control over their users’ decisions to post content and what content is posted. </w:t>
      </w:r>
    </w:p>
    <w:p w14:paraId="0B4E5BFF" w14:textId="1ECA935A" w:rsidR="0004402C" w:rsidRPr="0004402C" w:rsidRDefault="0004402C" w:rsidP="00CD38E6">
      <w:pPr>
        <w:pStyle w:val="Document"/>
      </w:pPr>
      <w:r w:rsidRPr="0004402C">
        <w:t>Even with the rise of generative AI, such as GitHub’s Copilot,</w:t>
      </w:r>
      <w:r w:rsidRPr="00FB2412">
        <w:rPr>
          <w:rStyle w:val="FootnoteReference"/>
        </w:rPr>
        <w:footnoteReference w:id="199"/>
      </w:r>
      <w:r w:rsidRPr="0004402C">
        <w:t xml:space="preserve"> the underlying algorithms and models are dependent on already existing user content and respond to user inquiries. In that way, Copilot, at least, is not very different from a community question-and-answer forum like Stack Overflow, where the answers to developers’ coding questions are typically snippets of code provided by other developers. Furthermore, asking platforms to take a more proactive approach to moderating content </w:t>
      </w:r>
      <w:r w:rsidR="007847F4">
        <w:t>would likel</w:t>
      </w:r>
      <w:r w:rsidR="008B5977">
        <w:t>y</w:t>
      </w:r>
      <w:r w:rsidRPr="0004402C">
        <w:t xml:space="preserve"> mean increased reliance on AI to analyze users’ content. Given global lawmakers’ concerns with digital privacy—for example the EU’s General Data Protection Regulation (GDPR) and state privacy regulations like the California Privacy Rights Act (CPRA)—and wariness of using AI in search algorithms, newsfeed curation, and content generation, it seems counterintuitive to push platforms to monitor its users more closely using AI algorithms.</w:t>
      </w:r>
    </w:p>
    <w:p w14:paraId="582BEC86" w14:textId="2621C90A" w:rsidR="0004402C" w:rsidRPr="0004402C" w:rsidRDefault="0004402C" w:rsidP="00CD38E6">
      <w:pPr>
        <w:pStyle w:val="Document"/>
      </w:pPr>
      <w:r w:rsidRPr="0004402C">
        <w:t>At least with regard to cybersecurity issues, the Biden Administration’s policy as it stands in 2023 and 2024 suggests that platforms are not in the best position to address these harms. One objective of the White House’s National Cybersecurity Strategy is to shift liability for insecure software products and services to manufacturers and software publishers with market power, who may not disclaim liability by contract.</w:t>
      </w:r>
      <w:r w:rsidRPr="00FB2412">
        <w:rPr>
          <w:rStyle w:val="FootnoteReference"/>
        </w:rPr>
        <w:footnoteReference w:id="200"/>
      </w:r>
      <w:r w:rsidRPr="0004402C">
        <w:t xml:space="preserve"> The Administration also envisions a safe harbor framework: those who comply with best practices for secure software development (ex: NIST’s Secure Software Development Framework (SSDF)) are shielded from liability.</w:t>
      </w:r>
      <w:r w:rsidRPr="00FB2412">
        <w:rPr>
          <w:rStyle w:val="FootnoteReference"/>
        </w:rPr>
        <w:footnoteReference w:id="201"/>
      </w:r>
      <w:r w:rsidRPr="0004402C">
        <w:t xml:space="preserve"> These best practices may and should evolve over time as technology develops.</w:t>
      </w:r>
      <w:r w:rsidRPr="00FB2412">
        <w:rPr>
          <w:rStyle w:val="FootnoteReference"/>
        </w:rPr>
        <w:footnoteReference w:id="202"/>
      </w:r>
      <w:r w:rsidRPr="0004402C">
        <w:t xml:space="preserve"> The White House’s strategy does not place responsibility on “the open-source developer of a component that is integrated into a commercial product.”</w:t>
      </w:r>
      <w:r w:rsidRPr="00FB2412">
        <w:rPr>
          <w:rStyle w:val="FootnoteReference"/>
        </w:rPr>
        <w:footnoteReference w:id="203"/>
      </w:r>
    </w:p>
    <w:p w14:paraId="281DB4EF" w14:textId="4B504410" w:rsidR="0004402C" w:rsidRPr="0004402C" w:rsidRDefault="0004402C" w:rsidP="00CD38E6">
      <w:pPr>
        <w:pStyle w:val="Document"/>
      </w:pPr>
      <w:r w:rsidRPr="0004402C">
        <w:t xml:space="preserve">A nuance with this strategy worth highlighting is: what exactly does it mean for a software publisher to have market power? If a </w:t>
      </w:r>
      <w:r w:rsidRPr="0004402C">
        <w:lastRenderedPageBreak/>
        <w:t xml:space="preserve">popular open source project that is a “go-to” for a particular use case (like TensorFlow for machine learning) becomes the source of a major vulnerability affecting </w:t>
      </w:r>
      <w:r w:rsidR="31AE5BE6">
        <w:t>all</w:t>
      </w:r>
      <w:r w:rsidRPr="0004402C">
        <w:t xml:space="preserve"> the projects depending on it, who is responsible for that vulnerability? The maintainers, on whom </w:t>
      </w:r>
      <w:r w:rsidR="188AC706">
        <w:t>all</w:t>
      </w:r>
      <w:r w:rsidRPr="0004402C">
        <w:t xml:space="preserve"> the most common open source governance models rely? The contributor(s) whose exact commit(s) caused the vulnerability? Anyone else who reviewed or commented on the changes before they were incorporated into the main branch? Answering questions like these may be the difference between protecting or suppressing the “freedom to innovate.”</w:t>
      </w:r>
      <w:r w:rsidRPr="00FB2412">
        <w:rPr>
          <w:rStyle w:val="FootnoteReference"/>
        </w:rPr>
        <w:footnoteReference w:id="204"/>
      </w:r>
    </w:p>
    <w:p w14:paraId="16B31004" w14:textId="65644945" w:rsidR="0004402C" w:rsidRPr="0004402C" w:rsidRDefault="0004402C" w:rsidP="00B00C4E">
      <w:pPr>
        <w:pStyle w:val="SubHead1"/>
        <w:outlineLvl w:val="0"/>
      </w:pPr>
      <w:bookmarkStart w:id="44" w:name="_Toc180790119"/>
      <w:bookmarkStart w:id="45" w:name="_Toc188103324"/>
      <w:r w:rsidRPr="0004402C">
        <w:t>Conclusion</w:t>
      </w:r>
      <w:bookmarkEnd w:id="44"/>
      <w:bookmarkEnd w:id="45"/>
    </w:p>
    <w:p w14:paraId="6E7A1F19" w14:textId="77777777" w:rsidR="0004402C" w:rsidRPr="0004402C" w:rsidRDefault="0004402C" w:rsidP="00CD38E6">
      <w:pPr>
        <w:pStyle w:val="Document"/>
      </w:pPr>
      <w:r w:rsidRPr="0004402C">
        <w:t>VCS platforms have developed to incorporate more and more features of traditional social media platforms like user activity feeds. However, the main content moderation concerns of traditional social media platforms—such as misinformation, harassment, and hate speech—are not necessarily shared by VCS platforms due to VCS platforms’ primary technical purpose of enabling collaborative software development, the social norms and governance of the platforms’ users (the OSS community), and the functional and dependent nature of the content these platforms host (code). When moderating content, VCS platforms must also consider cybersecurity risks and software dependencies.</w:t>
      </w:r>
    </w:p>
    <w:p w14:paraId="5E080461" w14:textId="3ABBD98D" w:rsidR="0004402C" w:rsidRPr="0004402C" w:rsidRDefault="0004402C" w:rsidP="00CD38E6">
      <w:pPr>
        <w:pStyle w:val="Document"/>
      </w:pPr>
      <w:r w:rsidRPr="0004402C">
        <w:t>The current appetite for adjusting platform liability for user-generated content has been whetted by content-related harms on traditional social media platforms. As a result, legislative and regulatory efforts addressing platform content moderation do not adequately consider the effects that these efforts may have on VCS platforms</w:t>
      </w:r>
      <w:r w:rsidR="003A4568">
        <w:t>. This oversight is risky, given its potential effects on</w:t>
      </w:r>
      <w:r w:rsidRPr="0004402C">
        <w:t xml:space="preserve"> code, a critical infrastructure for our ever increasingly digital society, and the subsequent innovation that </w:t>
      </w:r>
      <w:r w:rsidR="003A4568">
        <w:t>VCS</w:t>
      </w:r>
      <w:r w:rsidRPr="0004402C">
        <w:t xml:space="preserve"> platforms enable. </w:t>
      </w:r>
    </w:p>
    <w:p w14:paraId="44FBB200" w14:textId="41744B44" w:rsidR="00864D8C" w:rsidRPr="0004402C" w:rsidRDefault="008956BC" w:rsidP="00CD38E6">
      <w:pPr>
        <w:pStyle w:val="Document"/>
      </w:pPr>
      <w:r>
        <w:t>Lawmakers’</w:t>
      </w:r>
      <w:r w:rsidR="0004402C" w:rsidRPr="0004402C">
        <w:t xml:space="preserve"> failure to consider content moderation related harms beyond those in the traditional social media context also obfuscates an important initial question: are platforms the best positioned to address these harms? If not, imposing increased obligations and liability on platforms, or removing the shield from liability for user-generated content altogether, may create more </w:t>
      </w:r>
      <w:r w:rsidR="004D263E">
        <w:t>problems than it solves</w:t>
      </w:r>
      <w:r w:rsidR="0004402C" w:rsidRPr="0004402C">
        <w:t>. Whatever the answer, to paraphrase</w:t>
      </w:r>
      <w:r w:rsidR="008172FD">
        <w:t xml:space="preserve"> GitHub’s Chief Legal Officer</w:t>
      </w:r>
      <w:r w:rsidR="0004402C" w:rsidRPr="0004402C">
        <w:t xml:space="preserve"> Shelley McKinley, developers should not be left behind in these debates.</w:t>
      </w:r>
      <w:r w:rsidR="0004402C" w:rsidRPr="00FB2412">
        <w:rPr>
          <w:rStyle w:val="FootnoteReference"/>
        </w:rPr>
        <w:footnoteReference w:id="205"/>
      </w:r>
    </w:p>
    <w:sectPr w:rsidR="00864D8C" w:rsidRPr="0004402C" w:rsidSect="008E445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2880" w:bottom="2200" w:left="2880" w:header="720" w:footer="2200" w:gutter="0"/>
      <w:pgNumType w:start="2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FCDD" w14:textId="77777777" w:rsidR="00A94AA4" w:rsidRDefault="00A94AA4">
      <w:r>
        <w:separator/>
      </w:r>
    </w:p>
  </w:endnote>
  <w:endnote w:type="continuationSeparator" w:id="0">
    <w:p w14:paraId="26B23F82" w14:textId="77777777" w:rsidR="00A94AA4" w:rsidRDefault="00A94AA4">
      <w:r>
        <w:continuationSeparator/>
      </w:r>
    </w:p>
  </w:endnote>
  <w:endnote w:type="continuationNotice" w:id="1">
    <w:p w14:paraId="3BC36E4A" w14:textId="77777777" w:rsidR="00A94AA4" w:rsidRDefault="00A94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160"/>
      <w:gridCol w:w="2160"/>
      <w:gridCol w:w="2160"/>
    </w:tblGrid>
    <w:tr w:rsidR="478A71B8" w14:paraId="75A1014C" w14:textId="77777777" w:rsidTr="006B1B4B">
      <w:trPr>
        <w:trHeight w:val="300"/>
      </w:trPr>
      <w:tc>
        <w:tcPr>
          <w:tcW w:w="2160" w:type="dxa"/>
        </w:tcPr>
        <w:p w14:paraId="7233F306" w14:textId="75A172D5" w:rsidR="478A71B8" w:rsidRDefault="478A71B8" w:rsidP="006B1B4B">
          <w:pPr>
            <w:pStyle w:val="Header"/>
            <w:ind w:left="-115"/>
          </w:pPr>
        </w:p>
      </w:tc>
      <w:tc>
        <w:tcPr>
          <w:tcW w:w="2160" w:type="dxa"/>
        </w:tcPr>
        <w:p w14:paraId="2BA9B7A6" w14:textId="042B0FE8" w:rsidR="478A71B8" w:rsidRDefault="478A71B8" w:rsidP="006B1B4B">
          <w:pPr>
            <w:pStyle w:val="Header"/>
            <w:jc w:val="center"/>
          </w:pPr>
        </w:p>
      </w:tc>
      <w:tc>
        <w:tcPr>
          <w:tcW w:w="2160" w:type="dxa"/>
        </w:tcPr>
        <w:p w14:paraId="1E152079" w14:textId="422FE998" w:rsidR="478A71B8" w:rsidRDefault="478A71B8" w:rsidP="006B1B4B">
          <w:pPr>
            <w:pStyle w:val="Header"/>
            <w:ind w:right="-115"/>
            <w:jc w:val="right"/>
          </w:pPr>
        </w:p>
      </w:tc>
    </w:tr>
  </w:tbl>
  <w:p w14:paraId="152DFFBD" w14:textId="7A6A6EC1" w:rsidR="00B965A0" w:rsidRDefault="00B9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160"/>
      <w:gridCol w:w="2160"/>
      <w:gridCol w:w="2160"/>
    </w:tblGrid>
    <w:tr w:rsidR="478A71B8" w14:paraId="2C11B324" w14:textId="77777777" w:rsidTr="006B1B4B">
      <w:trPr>
        <w:trHeight w:val="300"/>
      </w:trPr>
      <w:tc>
        <w:tcPr>
          <w:tcW w:w="2160" w:type="dxa"/>
        </w:tcPr>
        <w:p w14:paraId="16E365F6" w14:textId="5AB5B855" w:rsidR="478A71B8" w:rsidRDefault="478A71B8" w:rsidP="006B1B4B">
          <w:pPr>
            <w:pStyle w:val="Header"/>
            <w:ind w:left="-115"/>
          </w:pPr>
        </w:p>
      </w:tc>
      <w:tc>
        <w:tcPr>
          <w:tcW w:w="2160" w:type="dxa"/>
        </w:tcPr>
        <w:p w14:paraId="10AA8D54" w14:textId="4339425A" w:rsidR="478A71B8" w:rsidRDefault="478A71B8" w:rsidP="006B1B4B">
          <w:pPr>
            <w:pStyle w:val="Header"/>
            <w:jc w:val="center"/>
          </w:pPr>
        </w:p>
      </w:tc>
      <w:tc>
        <w:tcPr>
          <w:tcW w:w="2160" w:type="dxa"/>
        </w:tcPr>
        <w:p w14:paraId="16437942" w14:textId="371437A3" w:rsidR="478A71B8" w:rsidRDefault="478A71B8" w:rsidP="006B1B4B">
          <w:pPr>
            <w:pStyle w:val="Header"/>
            <w:ind w:right="-115"/>
            <w:jc w:val="right"/>
          </w:pPr>
        </w:p>
      </w:tc>
    </w:tr>
  </w:tbl>
  <w:p w14:paraId="46A96629" w14:textId="298E2B6F" w:rsidR="00B965A0" w:rsidRDefault="00B96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F43F" w14:textId="1D4B43D9" w:rsidR="001808CC" w:rsidRPr="00C43DF4" w:rsidRDefault="008E4452">
    <w:pPr>
      <w:pStyle w:val="Footer"/>
      <w:spacing w:before="240"/>
      <w:ind w:right="360" w:firstLine="360"/>
      <w:jc w:val="center"/>
    </w:pPr>
    <w:r>
      <w:t>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2222" w14:textId="77777777" w:rsidR="00A94AA4" w:rsidRPr="0004402C" w:rsidRDefault="00A94AA4" w:rsidP="0004402C">
      <w:pPr>
        <w:pStyle w:val="Footer"/>
        <w:pBdr>
          <w:bottom w:val="single" w:sz="6" w:space="0" w:color="auto"/>
        </w:pBdr>
        <w:spacing w:after="80"/>
      </w:pPr>
    </w:p>
  </w:footnote>
  <w:footnote w:type="continuationSeparator" w:id="0">
    <w:p w14:paraId="6EA8516D" w14:textId="77777777" w:rsidR="00A94AA4" w:rsidRPr="0004402C" w:rsidRDefault="00A94AA4" w:rsidP="0004402C">
      <w:pPr>
        <w:pStyle w:val="Footer"/>
        <w:pBdr>
          <w:bottom w:val="single" w:sz="6" w:space="0" w:color="auto"/>
        </w:pBdr>
        <w:spacing w:after="80"/>
      </w:pPr>
    </w:p>
  </w:footnote>
  <w:footnote w:type="continuationNotice" w:id="1">
    <w:p w14:paraId="60978FFC" w14:textId="77777777" w:rsidR="00A94AA4" w:rsidRDefault="00A94AA4"/>
  </w:footnote>
  <w:footnote w:id="2">
    <w:p w14:paraId="00A2FB45" w14:textId="27D507B6" w:rsidR="0004402C" w:rsidRPr="0004402C" w:rsidRDefault="4B774E0D" w:rsidP="00923377">
      <w:pPr>
        <w:pStyle w:val="FootNote"/>
        <w:suppressAutoHyphens/>
      </w:pPr>
      <w:r w:rsidRPr="00DC1DB4">
        <w:rPr>
          <w:rStyle w:val="FootnoteReference"/>
          <w:rFonts w:eastAsia="Century Schoolbook" w:cs="Century Schoolbook"/>
          <w:szCs w:val="16"/>
        </w:rPr>
        <w:t>*</w:t>
      </w:r>
      <w:r w:rsidR="00DC1DB4">
        <w:rPr>
          <w:rFonts w:eastAsia="Century Schoolbook" w:cs="Century Schoolbook"/>
          <w:szCs w:val="16"/>
        </w:rPr>
        <w:t xml:space="preserve"> </w:t>
      </w:r>
      <w:r w:rsidRPr="4B774E0D">
        <w:rPr>
          <w:rFonts w:eastAsia="Century Schoolbook" w:cs="Century Schoolbook"/>
          <w:szCs w:val="16"/>
        </w:rPr>
        <w:t>New York University School of Law, J.D., 2024; Columbia University, B.S., Computer Science, 2020. Thank you to the professors of the Global Tech Law Seminar, during which I wrote the bulk of this paper: Professor Thomas Streinz for his insight and continued guidance throughout the publishing and editing process, Professor Benedict Kingsbury for his suggestions and encouragement to publish in the first place, and Professor David Stein for his comments regarding the technical aspects of this paper.</w:t>
      </w:r>
    </w:p>
  </w:footnote>
  <w:footnote w:id="3">
    <w:p w14:paraId="078E454F" w14:textId="4F720431" w:rsidR="0004402C" w:rsidRPr="0004402C" w:rsidRDefault="0004402C" w:rsidP="00923377">
      <w:pPr>
        <w:pStyle w:val="FootNotePara"/>
        <w:suppressAutoHyphens/>
      </w:pPr>
      <w:r w:rsidRPr="00E82BC6">
        <w:footnoteRef/>
      </w:r>
      <w:r w:rsidR="00E82BC6">
        <w:t>.</w:t>
      </w:r>
      <w:r w:rsidR="006859BF" w:rsidRPr="00E82BC6">
        <w:t xml:space="preserve"> </w:t>
      </w:r>
      <w:r w:rsidRPr="0004402C">
        <w:tab/>
      </w:r>
      <w:r w:rsidR="4B774E0D" w:rsidRPr="4B774E0D">
        <w:t xml:space="preserve">Ryan Lucas, </w:t>
      </w:r>
      <w:r w:rsidR="4B774E0D" w:rsidRPr="4B774E0D">
        <w:rPr>
          <w:i/>
        </w:rPr>
        <w:t>Where the Jan. 6 Insurrection Investigation Stands, One Year Later</w:t>
      </w:r>
      <w:r w:rsidR="4B774E0D" w:rsidRPr="4B774E0D">
        <w:t xml:space="preserve">, </w:t>
      </w:r>
      <w:r w:rsidR="4B774E0D" w:rsidRPr="4B774E0D">
        <w:rPr>
          <w:smallCaps/>
        </w:rPr>
        <w:t>Nat’l Pub. Radio</w:t>
      </w:r>
      <w:r w:rsidR="4B774E0D" w:rsidRPr="4B774E0D">
        <w:t xml:space="preserve"> (Jan. 6, 2022, 5:00 AM), </w:t>
      </w:r>
      <w:hyperlink r:id="rId1" w:history="1">
        <w:r w:rsidR="000F41DA" w:rsidRPr="00427441">
          <w:rPr>
            <w:rStyle w:val="Hyperlink"/>
            <w:rFonts w:ascii="Century Schoolbook" w:hAnsi="Century Schoolbook" w:cs="Century Schoolbook"/>
            <w:szCs w:val="16"/>
          </w:rPr>
          <w:t>https://www.npr.org/2022/01/06/1070736018/jan-6-anniversary-investigation-cases-defendants-justice</w:t>
        </w:r>
      </w:hyperlink>
      <w:r w:rsidR="000F41DA">
        <w:t xml:space="preserve"> </w:t>
      </w:r>
      <w:r w:rsidR="00223226">
        <w:t>[</w:t>
      </w:r>
      <w:r w:rsidR="002E3AC5" w:rsidRPr="002E3AC5">
        <w:t>https://perma.cc/3CTJ-2PZL</w:t>
      </w:r>
      <w:r w:rsidR="00223226">
        <w:t>]</w:t>
      </w:r>
      <w:r w:rsidR="002E3AC5">
        <w:t>.</w:t>
      </w:r>
    </w:p>
  </w:footnote>
  <w:footnote w:id="4">
    <w:p w14:paraId="40B9751C" w14:textId="7B59C950" w:rsidR="00491A70" w:rsidRDefault="00491A70" w:rsidP="00923377">
      <w:pPr>
        <w:pStyle w:val="FootNotePara"/>
        <w:suppressAutoHyphens/>
      </w:pPr>
      <w:r w:rsidRPr="00E82BC6">
        <w:footnoteRef/>
      </w:r>
      <w:r w:rsidR="00E82BC6">
        <w:t>.</w:t>
      </w:r>
      <w:r w:rsidR="4B774E0D" w:rsidRPr="00E82BC6">
        <w:t xml:space="preserve"> </w:t>
      </w:r>
      <w:r w:rsidR="00BE28AC" w:rsidRPr="4B774E0D">
        <w:rPr>
          <w:rFonts w:eastAsia="Century Schoolbook"/>
          <w:i/>
          <w:iCs/>
        </w:rPr>
        <w:t>Former President Trump’s Suspension</w:t>
      </w:r>
      <w:r w:rsidR="00BE28AC" w:rsidRPr="4B774E0D">
        <w:rPr>
          <w:rFonts w:eastAsia="Century Schoolbook"/>
        </w:rPr>
        <w:t xml:space="preserve">, </w:t>
      </w:r>
      <w:r w:rsidR="00BE28AC" w:rsidRPr="4B774E0D">
        <w:rPr>
          <w:rFonts w:eastAsia="Century Schoolbook"/>
          <w:smallCaps/>
        </w:rPr>
        <w:t>Meta Oversight Board</w:t>
      </w:r>
      <w:r w:rsidR="00BE28AC" w:rsidRPr="4B774E0D">
        <w:rPr>
          <w:rFonts w:eastAsia="Century Schoolbook"/>
        </w:rPr>
        <w:t>,</w:t>
      </w:r>
      <w:r w:rsidR="002D7936">
        <w:rPr>
          <w:rFonts w:eastAsia="Century Schoolbook"/>
        </w:rPr>
        <w:t xml:space="preserve"> (May 5, 2021),</w:t>
      </w:r>
      <w:r w:rsidR="00BE28AC" w:rsidRPr="4B774E0D">
        <w:rPr>
          <w:rFonts w:eastAsia="Century Schoolbook"/>
        </w:rPr>
        <w:t xml:space="preserve"> </w:t>
      </w:r>
      <w:hyperlink r:id="rId2" w:history="1">
        <w:r w:rsidR="00223226" w:rsidRPr="003A222C">
          <w:rPr>
            <w:rStyle w:val="Hyperlink"/>
            <w:rFonts w:ascii="Century Schoolbook" w:eastAsia="Century Schoolbook" w:hAnsi="Century Schoolbook"/>
          </w:rPr>
          <w:t>https://www.oversightboard.com/decision/FB-691QAMHJ</w:t>
        </w:r>
      </w:hyperlink>
      <w:r w:rsidR="00223226">
        <w:rPr>
          <w:rFonts w:eastAsia="Century Schoolbook" w:cs="Century Schoolbook"/>
          <w:szCs w:val="16"/>
        </w:rPr>
        <w:t xml:space="preserve"> [</w:t>
      </w:r>
      <w:r w:rsidR="00BE28AC" w:rsidRPr="00BE28AC">
        <w:rPr>
          <w:rFonts w:eastAsia="Century Schoolbook" w:cs="Century Schoolbook"/>
          <w:szCs w:val="16"/>
        </w:rPr>
        <w:t>https://perma.cc/5PEU-6WAN</w:t>
      </w:r>
      <w:r w:rsidR="00223226">
        <w:rPr>
          <w:rFonts w:eastAsia="Century Schoolbook" w:cs="Century Schoolbook"/>
          <w:szCs w:val="16"/>
        </w:rPr>
        <w:t>]</w:t>
      </w:r>
      <w:r w:rsidR="00BE28AC" w:rsidRPr="00BE28AC">
        <w:rPr>
          <w:rFonts w:eastAsia="Century Schoolbook" w:cs="Century Schoolbook"/>
          <w:szCs w:val="16"/>
        </w:rPr>
        <w:t>.</w:t>
      </w:r>
    </w:p>
  </w:footnote>
  <w:footnote w:id="5">
    <w:p w14:paraId="7805A6DD" w14:textId="047DB455" w:rsidR="0004402C" w:rsidRPr="00BE28AC" w:rsidRDefault="0004402C" w:rsidP="00923377">
      <w:pPr>
        <w:pStyle w:val="FootNotePara"/>
        <w:suppressAutoHyphens/>
        <w:rPr>
          <w:i/>
          <w:iCs/>
        </w:rPr>
      </w:pPr>
      <w:r w:rsidRPr="00E82BC6">
        <w:footnoteRef/>
      </w:r>
      <w:r w:rsidR="00E82BC6">
        <w:t>.</w:t>
      </w:r>
      <w:r w:rsidR="00BE28AC" w:rsidRPr="00E82BC6">
        <w:t xml:space="preserve"> </w:t>
      </w:r>
      <w:r w:rsidR="00BE28AC">
        <w:rPr>
          <w:i/>
          <w:iCs/>
        </w:rPr>
        <w:t>Id.</w:t>
      </w:r>
    </w:p>
  </w:footnote>
  <w:footnote w:id="6">
    <w:p w14:paraId="0BDF565A" w14:textId="657BC392" w:rsidR="0004402C" w:rsidRPr="006B1B4B" w:rsidRDefault="0004402C" w:rsidP="00923377">
      <w:pPr>
        <w:pStyle w:val="FootNotePara"/>
        <w:suppressAutoHyphens/>
        <w:rPr>
          <w:i/>
        </w:rPr>
      </w:pPr>
      <w:r w:rsidRPr="00E82BC6">
        <w:footnoteRef/>
      </w:r>
      <w:r w:rsidR="00E82BC6">
        <w:t>.</w:t>
      </w:r>
      <w:r w:rsidR="00DF2EC3" w:rsidRPr="00E82BC6">
        <w:t xml:space="preserve"> </w:t>
      </w:r>
      <w:r w:rsidR="4B774E0D" w:rsidRPr="4B774E0D">
        <w:rPr>
          <w:i/>
        </w:rPr>
        <w:t>Id.</w:t>
      </w:r>
    </w:p>
  </w:footnote>
  <w:footnote w:id="7">
    <w:p w14:paraId="12005F57" w14:textId="0AF07A99" w:rsidR="0004402C" w:rsidRPr="0004402C" w:rsidRDefault="0004402C" w:rsidP="00923377">
      <w:pPr>
        <w:pStyle w:val="FootNotePara"/>
        <w:suppressAutoHyphens/>
      </w:pPr>
      <w:r w:rsidRPr="00E82BC6">
        <w:footnoteRef/>
      </w:r>
      <w:r w:rsidR="00E82BC6">
        <w:t>.</w:t>
      </w:r>
      <w:r w:rsidR="007972D8" w:rsidRPr="00E82BC6">
        <w:t xml:space="preserve"> </w:t>
      </w:r>
      <w:r w:rsidRPr="0004402C">
        <w:tab/>
      </w:r>
      <w:r w:rsidR="4B774E0D" w:rsidRPr="4B774E0D">
        <w:t xml:space="preserve">Mia Sato, </w:t>
      </w:r>
      <w:r w:rsidR="4B774E0D" w:rsidRPr="4B774E0D">
        <w:rPr>
          <w:i/>
          <w:iCs/>
        </w:rPr>
        <w:t>Buying Twitter ‘</w:t>
      </w:r>
      <w:r w:rsidR="003D1079">
        <w:rPr>
          <w:i/>
          <w:iCs/>
        </w:rPr>
        <w:t>I</w:t>
      </w:r>
      <w:r w:rsidR="4B774E0D" w:rsidRPr="4B774E0D">
        <w:rPr>
          <w:i/>
          <w:iCs/>
        </w:rPr>
        <w:t xml:space="preserve">s Not a Way to Make Money,’ </w:t>
      </w:r>
      <w:r w:rsidR="003D1079">
        <w:rPr>
          <w:i/>
          <w:iCs/>
        </w:rPr>
        <w:t>S</w:t>
      </w:r>
      <w:r w:rsidR="4B774E0D" w:rsidRPr="4B774E0D">
        <w:rPr>
          <w:i/>
          <w:iCs/>
        </w:rPr>
        <w:t>ays Musk in TED Interview</w:t>
      </w:r>
      <w:r w:rsidR="4B774E0D" w:rsidRPr="4B774E0D">
        <w:t xml:space="preserve">, </w:t>
      </w:r>
      <w:r w:rsidR="4B774E0D" w:rsidRPr="4B774E0D">
        <w:rPr>
          <w:smallCaps/>
        </w:rPr>
        <w:t>The Verge</w:t>
      </w:r>
      <w:r w:rsidR="4B774E0D" w:rsidRPr="4B774E0D">
        <w:t xml:space="preserve"> (Apr. 14, 2022, </w:t>
      </w:r>
      <w:r w:rsidR="00A742E6">
        <w:t>1</w:t>
      </w:r>
      <w:r w:rsidR="4B774E0D" w:rsidRPr="4B774E0D">
        <w:t xml:space="preserve">1:32 </w:t>
      </w:r>
      <w:r w:rsidR="00AF037A">
        <w:t>A</w:t>
      </w:r>
      <w:r w:rsidR="4B774E0D" w:rsidRPr="4B774E0D">
        <w:t xml:space="preserve">M), </w:t>
      </w:r>
      <w:hyperlink r:id="rId3" w:history="1">
        <w:r w:rsidR="008E5851" w:rsidRPr="00127982">
          <w:rPr>
            <w:rStyle w:val="Hyperlink"/>
            <w:rFonts w:ascii="Century Schoolbook" w:hAnsi="Century Schoolbook" w:cs="Century Schoolbook"/>
            <w:szCs w:val="16"/>
          </w:rPr>
          <w:t>https://www.theverge.com/2022/4/14/23025343/elon-musk-twitter-takeover-ted-talk-quote-stock-buyout</w:t>
        </w:r>
      </w:hyperlink>
      <w:r w:rsidR="008E5851">
        <w:rPr>
          <w:rFonts w:cs="Century Schoolbook"/>
          <w:szCs w:val="16"/>
        </w:rPr>
        <w:t xml:space="preserve"> [</w:t>
      </w:r>
      <w:r w:rsidR="00C03315" w:rsidRPr="00C03315">
        <w:rPr>
          <w:rFonts w:cs="Century Schoolbook"/>
          <w:szCs w:val="16"/>
        </w:rPr>
        <w:t>https://perma.cc/8ANS-4U57</w:t>
      </w:r>
      <w:r w:rsidR="00C03315">
        <w:rPr>
          <w:rFonts w:cs="Century Schoolbook"/>
          <w:szCs w:val="16"/>
        </w:rPr>
        <w:t>]</w:t>
      </w:r>
      <w:r w:rsidR="4B774E0D" w:rsidRPr="4B774E0D">
        <w:t>.</w:t>
      </w:r>
    </w:p>
  </w:footnote>
  <w:footnote w:id="8">
    <w:p w14:paraId="33563944" w14:textId="0EC145E6" w:rsidR="0004402C" w:rsidRPr="0004402C" w:rsidRDefault="0004402C" w:rsidP="00923377">
      <w:pPr>
        <w:pStyle w:val="FootNotePara"/>
        <w:suppressAutoHyphens/>
      </w:pPr>
      <w:r w:rsidRPr="006B1317">
        <w:footnoteRef/>
      </w:r>
      <w:r w:rsidR="006B1317">
        <w:t>.</w:t>
      </w:r>
      <w:r w:rsidR="00C5776F" w:rsidRPr="006B1317">
        <w:t xml:space="preserve"> </w:t>
      </w:r>
      <w:r w:rsidRPr="006B1317">
        <w:tab/>
      </w:r>
      <w:r w:rsidR="4B774E0D" w:rsidRPr="4B774E0D">
        <w:t xml:space="preserve">Luc Cohen, </w:t>
      </w:r>
      <w:r w:rsidR="4B774E0D" w:rsidRPr="4B774E0D">
        <w:rPr>
          <w:i/>
        </w:rPr>
        <w:t xml:space="preserve">Taylor Swift Searches Blocked on X </w:t>
      </w:r>
      <w:r w:rsidR="00C61580">
        <w:rPr>
          <w:i/>
        </w:rPr>
        <w:t>A</w:t>
      </w:r>
      <w:r w:rsidR="4B774E0D" w:rsidRPr="4B774E0D">
        <w:rPr>
          <w:i/>
        </w:rPr>
        <w:t>fter Fake Explicit Images Spread</w:t>
      </w:r>
      <w:r w:rsidR="4B774E0D" w:rsidRPr="4B774E0D">
        <w:t xml:space="preserve">, </w:t>
      </w:r>
      <w:r w:rsidR="4B774E0D" w:rsidRPr="4B774E0D">
        <w:rPr>
          <w:smallCaps/>
        </w:rPr>
        <w:t>Reuters</w:t>
      </w:r>
      <w:r w:rsidR="4B774E0D" w:rsidRPr="4B774E0D">
        <w:t xml:space="preserve"> (Jan. 29, 2024, </w:t>
      </w:r>
      <w:r w:rsidR="00493713">
        <w:t>2</w:t>
      </w:r>
      <w:r w:rsidR="4B774E0D" w:rsidRPr="4B774E0D">
        <w:t xml:space="preserve">:15 AM), </w:t>
      </w:r>
      <w:hyperlink r:id="rId4" w:history="1">
        <w:r w:rsidR="00D52C43" w:rsidRPr="00127982">
          <w:rPr>
            <w:rStyle w:val="Hyperlink"/>
            <w:rFonts w:ascii="Century Schoolbook" w:eastAsia="Century Schoolbook" w:hAnsi="Century Schoolbook" w:cs="Century Schoolbook"/>
            <w:szCs w:val="16"/>
          </w:rPr>
          <w:t>https://www.reuters.com/technology/taylor-swift-searches-blocked-x-after-fake-explicit-images-spread-2024-01-28/</w:t>
        </w:r>
      </w:hyperlink>
      <w:r w:rsidR="00D52C43">
        <w:t xml:space="preserve"> [</w:t>
      </w:r>
      <w:r w:rsidR="00D52C43" w:rsidRPr="00D52C43">
        <w:t>https://perma.cc/K5RM-LLYB</w:t>
      </w:r>
      <w:r w:rsidR="00D52C43">
        <w:t>].</w:t>
      </w:r>
    </w:p>
  </w:footnote>
  <w:footnote w:id="9">
    <w:p w14:paraId="0DDFA313" w14:textId="0F52CD78" w:rsidR="0004402C" w:rsidRPr="0004402C" w:rsidRDefault="0004402C" w:rsidP="00923377">
      <w:pPr>
        <w:pStyle w:val="FootNotePara"/>
        <w:suppressAutoHyphens/>
      </w:pPr>
      <w:r w:rsidRPr="004237D9">
        <w:footnoteRef/>
      </w:r>
      <w:r w:rsidR="004237D9">
        <w:t>.</w:t>
      </w:r>
      <w:r w:rsidR="008C2B38" w:rsidRPr="004237D9">
        <w:t xml:space="preserve"> </w:t>
      </w:r>
      <w:r w:rsidRPr="004237D9">
        <w:tab/>
      </w:r>
      <w:r w:rsidR="4B774E0D" w:rsidRPr="4B774E0D">
        <w:t xml:space="preserve">Nicolas Suzor, </w:t>
      </w:r>
      <w:r w:rsidR="4B774E0D" w:rsidRPr="4B774E0D">
        <w:rPr>
          <w:i/>
        </w:rPr>
        <w:t>Understanding Content Moderation Systems: New Methods to Understand Internet Governance at Scale, Over Time, and Across Platforms</w:t>
      </w:r>
      <w:r w:rsidR="4B774E0D" w:rsidRPr="4B774E0D">
        <w:t xml:space="preserve">, </w:t>
      </w:r>
      <w:r w:rsidR="4B774E0D" w:rsidRPr="4B774E0D">
        <w:rPr>
          <w:i/>
        </w:rPr>
        <w:t>in</w:t>
      </w:r>
      <w:r w:rsidR="4B774E0D" w:rsidRPr="4B774E0D">
        <w:t xml:space="preserve"> </w:t>
      </w:r>
      <w:r w:rsidR="4B774E0D" w:rsidRPr="4B774E0D">
        <w:rPr>
          <w:smallCaps/>
        </w:rPr>
        <w:t>Computational Legal Studies: The Promise and Challenge of Data-Driven Research</w:t>
      </w:r>
      <w:r w:rsidR="4B774E0D" w:rsidRPr="4B774E0D">
        <w:t xml:space="preserve"> 166, 166–67 (2020).</w:t>
      </w:r>
    </w:p>
  </w:footnote>
  <w:footnote w:id="10">
    <w:p w14:paraId="577FBA50" w14:textId="76A12E23" w:rsidR="0004402C" w:rsidRPr="0004402C" w:rsidRDefault="0004402C" w:rsidP="00923377">
      <w:pPr>
        <w:pStyle w:val="FootNotePara"/>
        <w:suppressAutoHyphens/>
      </w:pPr>
      <w:r w:rsidRPr="004237D9">
        <w:footnoteRef/>
      </w:r>
      <w:r w:rsidR="004237D9">
        <w:t>.</w:t>
      </w:r>
      <w:r w:rsidR="008C2B38" w:rsidRPr="004237D9">
        <w:t xml:space="preserve"> </w:t>
      </w:r>
      <w:r w:rsidR="4B774E0D" w:rsidRPr="4B774E0D">
        <w:t>In a way, §</w:t>
      </w:r>
      <w:r w:rsidR="006E13AA">
        <w:t> </w:t>
      </w:r>
      <w:r w:rsidR="4B774E0D" w:rsidRPr="4B774E0D">
        <w:t>512 of the Digital Millennium Copyright Act also moderates content. Copyright holders may issue takedown requests—perhaps wrongfully, for example if they do not fully consider doctrines like fair use—that can impact the availability of content on platforms. However, since the harm that §</w:t>
      </w:r>
      <w:r w:rsidR="006E13AA">
        <w:t> </w:t>
      </w:r>
      <w:r w:rsidR="4B774E0D" w:rsidRPr="4B774E0D">
        <w:t>512 addresses is to copyright holders rather than to the public at large, I have chosen not to address it in this paper. Digital Millenium Copyright Act of 1998, 17 U.S.C. § 512 (2010).</w:t>
      </w:r>
    </w:p>
  </w:footnote>
  <w:footnote w:id="11">
    <w:p w14:paraId="5A1B618F" w14:textId="6FD29CAC" w:rsidR="0004402C" w:rsidRPr="0004402C" w:rsidRDefault="0004402C" w:rsidP="00923377">
      <w:pPr>
        <w:pStyle w:val="FootNotePara"/>
        <w:suppressAutoHyphens/>
        <w:rPr>
          <w:rFonts w:eastAsia="Century Schoolbook" w:cs="Century Schoolbook"/>
        </w:rPr>
      </w:pPr>
      <w:r w:rsidRPr="004C68F2">
        <w:footnoteRef/>
      </w:r>
      <w:r w:rsidR="004C68F2">
        <w:t>.</w:t>
      </w:r>
      <w:r w:rsidR="007B403A" w:rsidRPr="004C68F2">
        <w:t xml:space="preserve"> </w:t>
      </w:r>
      <w:r w:rsidRPr="004C68F2">
        <w:tab/>
      </w:r>
      <w:r w:rsidRPr="007B403A">
        <w:rPr>
          <w:rFonts w:eastAsia="Century Schoolbook" w:cs="Century Schoolbook"/>
          <w:i/>
          <w:szCs w:val="16"/>
        </w:rPr>
        <w:t>202</w:t>
      </w:r>
      <w:r w:rsidR="003C55BE">
        <w:rPr>
          <w:rFonts w:eastAsia="Century Schoolbook" w:cs="Century Schoolbook"/>
          <w:i/>
          <w:szCs w:val="16"/>
        </w:rPr>
        <w:t>4</w:t>
      </w:r>
      <w:r w:rsidRPr="007B403A">
        <w:rPr>
          <w:rFonts w:eastAsia="Century Schoolbook" w:cs="Century Schoolbook"/>
          <w:i/>
          <w:szCs w:val="16"/>
        </w:rPr>
        <w:t xml:space="preserve"> Open Source Security and Risk Analysis Report</w:t>
      </w:r>
      <w:r w:rsidRPr="007B403A">
        <w:rPr>
          <w:rFonts w:eastAsia="Century Schoolbook" w:cs="Century Schoolbook"/>
          <w:szCs w:val="16"/>
        </w:rPr>
        <w:t xml:space="preserve">, </w:t>
      </w:r>
      <w:r w:rsidRPr="007B403A">
        <w:rPr>
          <w:rFonts w:eastAsia="Century Schoolbook" w:cs="Century Schoolbook"/>
          <w:smallCaps/>
          <w:szCs w:val="16"/>
        </w:rPr>
        <w:t>Synopsys 4</w:t>
      </w:r>
      <w:r w:rsidRPr="007B403A">
        <w:rPr>
          <w:rFonts w:eastAsia="Century Schoolbook" w:cs="Century Schoolbook"/>
          <w:szCs w:val="16"/>
        </w:rPr>
        <w:t xml:space="preserve">, </w:t>
      </w:r>
      <w:hyperlink r:id="rId5" w:history="1">
        <w:r w:rsidR="00EF236F" w:rsidRPr="00127982">
          <w:rPr>
            <w:rStyle w:val="Hyperlink"/>
            <w:rFonts w:ascii="Century Schoolbook" w:eastAsia="Century Schoolbook" w:hAnsi="Century Schoolbook" w:cs="Century Schoolbook"/>
            <w:szCs w:val="16"/>
          </w:rPr>
          <w:t>https://www.synopsys.com/software-integrity/engage/ossra/rep-ossra-2024-pdf</w:t>
        </w:r>
      </w:hyperlink>
      <w:r w:rsidR="00EF236F">
        <w:rPr>
          <w:rFonts w:eastAsia="Century Schoolbook" w:cs="Century Schoolbook"/>
          <w:szCs w:val="16"/>
        </w:rPr>
        <w:t xml:space="preserve"> [</w:t>
      </w:r>
      <w:r w:rsidR="00EF236F" w:rsidRPr="00EF236F">
        <w:rPr>
          <w:rFonts w:eastAsia="Century Schoolbook" w:cs="Century Schoolbook"/>
          <w:szCs w:val="16"/>
        </w:rPr>
        <w:t>https://perma.cc/9X38-HLG5</w:t>
      </w:r>
      <w:r w:rsidR="00EF236F">
        <w:rPr>
          <w:rFonts w:eastAsia="Century Schoolbook" w:cs="Century Schoolbook"/>
          <w:szCs w:val="16"/>
        </w:rPr>
        <w:t>].</w:t>
      </w:r>
    </w:p>
  </w:footnote>
  <w:footnote w:id="12">
    <w:p w14:paraId="677A8443" w14:textId="1B549A2C" w:rsidR="0004402C" w:rsidRPr="0004402C" w:rsidRDefault="0004402C" w:rsidP="00923377">
      <w:pPr>
        <w:pStyle w:val="FootNotePara"/>
        <w:suppressAutoHyphens/>
      </w:pPr>
      <w:r w:rsidRPr="004C68F2">
        <w:footnoteRef/>
      </w:r>
      <w:r w:rsidR="004C68F2">
        <w:t>.</w:t>
      </w:r>
      <w:r w:rsidR="007018D6" w:rsidRPr="004C68F2">
        <w:rPr>
          <w:rFonts w:hint="eastAsia"/>
        </w:rPr>
        <w:t xml:space="preserve"> </w:t>
      </w:r>
      <w:r w:rsidRPr="004C68F2">
        <w:tab/>
      </w:r>
      <w:r w:rsidR="4B774E0D" w:rsidRPr="4B774E0D">
        <w:rPr>
          <w:smallCaps/>
        </w:rPr>
        <w:t>Christopher M. Kelty</w:t>
      </w:r>
      <w:r w:rsidR="4B774E0D" w:rsidRPr="4B774E0D">
        <w:t xml:space="preserve">, </w:t>
      </w:r>
      <w:r w:rsidR="4B774E0D" w:rsidRPr="4B774E0D">
        <w:rPr>
          <w:smallCaps/>
        </w:rPr>
        <w:t>Two Bits: The Cultural Significance of Free Software</w:t>
      </w:r>
      <w:r w:rsidR="4B774E0D" w:rsidRPr="4B774E0D">
        <w:t xml:space="preserve"> 99 (2008).</w:t>
      </w:r>
    </w:p>
  </w:footnote>
  <w:footnote w:id="13">
    <w:p w14:paraId="6230EBF5" w14:textId="17AB56A4" w:rsidR="0004402C" w:rsidRPr="0004402C" w:rsidRDefault="0004402C" w:rsidP="00923377">
      <w:pPr>
        <w:pStyle w:val="FootNotePara"/>
        <w:suppressAutoHyphens/>
      </w:pPr>
      <w:r w:rsidRPr="004C68F2">
        <w:footnoteRef/>
      </w:r>
      <w:r w:rsidR="004C68F2">
        <w:t>.</w:t>
      </w:r>
      <w:r w:rsidR="00487C3B" w:rsidRPr="004C68F2">
        <w:t xml:space="preserve"> </w:t>
      </w:r>
      <w:r w:rsidR="4B774E0D" w:rsidRPr="4B774E0D">
        <w:rPr>
          <w:smallCaps/>
        </w:rPr>
        <w:t>Glyn Moody</w:t>
      </w:r>
      <w:r w:rsidR="4B774E0D" w:rsidRPr="4B774E0D">
        <w:t xml:space="preserve">, </w:t>
      </w:r>
      <w:r w:rsidR="4B774E0D" w:rsidRPr="4B774E0D">
        <w:rPr>
          <w:smallCaps/>
        </w:rPr>
        <w:t>Rebel Code: Linux and the Open Source Revolution</w:t>
      </w:r>
      <w:r w:rsidR="4B774E0D" w:rsidRPr="4B774E0D">
        <w:t xml:space="preserve"> 4 (2d prtg. 2009).</w:t>
      </w:r>
    </w:p>
  </w:footnote>
  <w:footnote w:id="14">
    <w:p w14:paraId="09D90C3F" w14:textId="23277E16" w:rsidR="0004402C" w:rsidRPr="0004402C" w:rsidRDefault="0004402C" w:rsidP="00923377">
      <w:pPr>
        <w:pStyle w:val="FootNotePara"/>
        <w:suppressAutoHyphens/>
      </w:pPr>
      <w:r w:rsidRPr="004C68F2">
        <w:footnoteRef/>
      </w:r>
      <w:r w:rsidR="004C68F2">
        <w:t>.</w:t>
      </w:r>
      <w:r w:rsidR="00013BB7">
        <w:t xml:space="preserve"> </w:t>
      </w:r>
      <w:r w:rsidRPr="0004402C">
        <w:tab/>
      </w:r>
      <w:r w:rsidR="4B774E0D" w:rsidRPr="4B774E0D">
        <w:t xml:space="preserve">C. Bradford Biddle, </w:t>
      </w:r>
      <w:r w:rsidR="4B774E0D" w:rsidRPr="4B774E0D">
        <w:rPr>
          <w:i/>
        </w:rPr>
        <w:t>Linux Foundation is Eating the World</w:t>
      </w:r>
      <w:r w:rsidR="4B774E0D" w:rsidRPr="4B774E0D">
        <w:t xml:space="preserve">, 11 </w:t>
      </w:r>
      <w:r w:rsidR="4B774E0D" w:rsidRPr="4B774E0D">
        <w:rPr>
          <w:smallCaps/>
        </w:rPr>
        <w:t>J. Open L., Tech. &amp; Soc’y</w:t>
      </w:r>
      <w:r w:rsidR="4B774E0D" w:rsidRPr="4B774E0D">
        <w:t xml:space="preserve"> 57, 66 (2019).</w:t>
      </w:r>
    </w:p>
  </w:footnote>
  <w:footnote w:id="15">
    <w:p w14:paraId="66B77220" w14:textId="3D1CE7C9" w:rsidR="0004402C" w:rsidRPr="0004402C" w:rsidRDefault="0004402C" w:rsidP="00923377">
      <w:pPr>
        <w:pStyle w:val="FootNotePara"/>
        <w:suppressAutoHyphens/>
      </w:pPr>
      <w:r w:rsidRPr="004C68F2">
        <w:footnoteRef/>
      </w:r>
      <w:r w:rsidR="004C68F2">
        <w:t>.</w:t>
      </w:r>
      <w:r w:rsidR="00392897" w:rsidRPr="004C68F2">
        <w:t xml:space="preserve"> </w:t>
      </w:r>
      <w:r w:rsidR="4B774E0D" w:rsidRPr="4B774E0D">
        <w:rPr>
          <w:smallCaps/>
        </w:rPr>
        <w:t>Kelty</w:t>
      </w:r>
      <w:r w:rsidR="4B774E0D" w:rsidRPr="4B774E0D">
        <w:t xml:space="preserve">, </w:t>
      </w:r>
      <w:r w:rsidR="4B774E0D" w:rsidRPr="4B774E0D">
        <w:rPr>
          <w:i/>
        </w:rPr>
        <w:t>supra</w:t>
      </w:r>
      <w:r w:rsidR="4B774E0D" w:rsidRPr="4B774E0D">
        <w:t xml:space="preserve"> note </w:t>
      </w:r>
      <w:r w:rsidR="008F1B09">
        <w:t>10</w:t>
      </w:r>
      <w:r w:rsidR="4B774E0D" w:rsidRPr="4B774E0D">
        <w:t>, at 122.</w:t>
      </w:r>
    </w:p>
  </w:footnote>
  <w:footnote w:id="16">
    <w:p w14:paraId="26A21A08" w14:textId="05B6A205" w:rsidR="0004402C" w:rsidRPr="0004402C" w:rsidRDefault="0004402C" w:rsidP="00923377">
      <w:pPr>
        <w:pStyle w:val="FootNotePara"/>
        <w:suppressAutoHyphens/>
      </w:pPr>
      <w:r w:rsidRPr="004C68F2">
        <w:footnoteRef/>
      </w:r>
      <w:r w:rsidR="004C68F2">
        <w:t>.</w:t>
      </w:r>
      <w:r w:rsidR="00013BB7" w:rsidRPr="004C68F2">
        <w:t xml:space="preserve"> </w:t>
      </w:r>
      <w:r w:rsidR="4B774E0D" w:rsidRPr="4B774E0D">
        <w:rPr>
          <w:i/>
        </w:rPr>
        <w:t xml:space="preserve">Id. </w:t>
      </w:r>
      <w:r w:rsidR="4B774E0D" w:rsidRPr="4B774E0D">
        <w:t>at 122–23.</w:t>
      </w:r>
    </w:p>
  </w:footnote>
  <w:footnote w:id="17">
    <w:p w14:paraId="33CD67AB" w14:textId="4A7253D0" w:rsidR="0004402C" w:rsidRPr="0004402C" w:rsidRDefault="0004402C" w:rsidP="00923377">
      <w:pPr>
        <w:pStyle w:val="FootNotePara"/>
        <w:suppressAutoHyphens/>
      </w:pPr>
      <w:r w:rsidRPr="004C68F2">
        <w:footnoteRef/>
      </w:r>
      <w:r w:rsidR="004C68F2">
        <w:t>.</w:t>
      </w:r>
      <w:r w:rsidR="00392897" w:rsidRPr="004C68F2">
        <w:t xml:space="preserve"> </w:t>
      </w:r>
      <w:r w:rsidR="4B774E0D" w:rsidRPr="4B774E0D">
        <w:rPr>
          <w:smallCaps/>
        </w:rPr>
        <w:t>Moody</w:t>
      </w:r>
      <w:r w:rsidR="4B774E0D" w:rsidRPr="4B774E0D">
        <w:t xml:space="preserve">, </w:t>
      </w:r>
      <w:r w:rsidR="4B774E0D" w:rsidRPr="4B774E0D">
        <w:rPr>
          <w:i/>
        </w:rPr>
        <w:t>supra</w:t>
      </w:r>
      <w:r w:rsidR="4B774E0D" w:rsidRPr="4B774E0D">
        <w:t xml:space="preserve"> note 1</w:t>
      </w:r>
      <w:r w:rsidR="006149A8">
        <w:t>1</w:t>
      </w:r>
      <w:r w:rsidR="4B774E0D" w:rsidRPr="4B774E0D">
        <w:t xml:space="preserve">, at 168; </w:t>
      </w:r>
      <w:r w:rsidR="4B774E0D" w:rsidRPr="4B774E0D">
        <w:rPr>
          <w:i/>
        </w:rPr>
        <w:t>The Open Source Definition</w:t>
      </w:r>
      <w:r w:rsidR="4B774E0D" w:rsidRPr="4B774E0D">
        <w:t xml:space="preserve">, </w:t>
      </w:r>
      <w:r w:rsidR="4B774E0D" w:rsidRPr="4B774E0D">
        <w:rPr>
          <w:smallCaps/>
        </w:rPr>
        <w:t>The Open Source Initiative</w:t>
      </w:r>
      <w:r w:rsidR="4B774E0D" w:rsidRPr="4B774E0D">
        <w:t xml:space="preserve"> (Feb. 16, 2024), </w:t>
      </w:r>
      <w:r w:rsidRPr="4B774E0D">
        <w:t>https://opensource.org/osd/</w:t>
      </w:r>
      <w:r w:rsidR="4B774E0D" w:rsidRPr="4B774E0D">
        <w:t xml:space="preserve"> </w:t>
      </w:r>
      <w:r w:rsidR="0088380C">
        <w:t>[</w:t>
      </w:r>
      <w:r w:rsidR="4B774E0D" w:rsidRPr="4B774E0D">
        <w:t>https://perma.cc/46YU-FGT8</w:t>
      </w:r>
      <w:r w:rsidR="0088380C">
        <w:t>]</w:t>
      </w:r>
      <w:r w:rsidR="4B774E0D" w:rsidRPr="4B774E0D">
        <w:t>.</w:t>
      </w:r>
    </w:p>
  </w:footnote>
  <w:footnote w:id="18">
    <w:p w14:paraId="6A0EDEE4" w14:textId="1CE0482B" w:rsidR="0004402C" w:rsidRPr="0004402C" w:rsidRDefault="0004402C" w:rsidP="00923377">
      <w:pPr>
        <w:pStyle w:val="FootNotePara"/>
        <w:suppressAutoHyphens/>
      </w:pPr>
      <w:r w:rsidRPr="00AB0640">
        <w:footnoteRef/>
      </w:r>
      <w:r w:rsidR="00AB0640">
        <w:t>.</w:t>
      </w:r>
      <w:r w:rsidR="00F60F7C" w:rsidRPr="00AB0640">
        <w:t xml:space="preserve"> </w:t>
      </w:r>
      <w:r w:rsidRPr="00AB0640">
        <w:tab/>
      </w:r>
      <w:r w:rsidR="4B774E0D" w:rsidRPr="4B774E0D">
        <w:rPr>
          <w:smallCaps/>
        </w:rPr>
        <w:t>Eric. S. Raymond</w:t>
      </w:r>
      <w:r w:rsidR="4B774E0D" w:rsidRPr="4B774E0D">
        <w:t xml:space="preserve">, </w:t>
      </w:r>
      <w:r w:rsidR="4B774E0D" w:rsidRPr="4B774E0D">
        <w:rPr>
          <w:smallCaps/>
        </w:rPr>
        <w:t>The Cathedral and the Bazaar</w:t>
      </w:r>
      <w:r w:rsidR="4B774E0D" w:rsidRPr="4B774E0D">
        <w:t xml:space="preserve"> 27 (rev. ed. 2001).</w:t>
      </w:r>
    </w:p>
  </w:footnote>
  <w:footnote w:id="19">
    <w:p w14:paraId="5789AD83" w14:textId="633D5D34" w:rsidR="0004402C" w:rsidRPr="0004402C" w:rsidRDefault="0004402C" w:rsidP="00923377">
      <w:pPr>
        <w:pStyle w:val="FootNotePara"/>
        <w:suppressAutoHyphens/>
      </w:pPr>
      <w:r w:rsidRPr="00AB0640">
        <w:footnoteRef/>
      </w:r>
      <w:r w:rsidR="00AB0640">
        <w:t>.</w:t>
      </w:r>
      <w:r w:rsidR="00F60F7C" w:rsidRPr="00AB0640">
        <w:t xml:space="preserve"> </w:t>
      </w:r>
      <w:r w:rsidRPr="0004402C">
        <w:tab/>
      </w:r>
      <w:r w:rsidR="4B774E0D" w:rsidRPr="4B774E0D">
        <w:t xml:space="preserve">Carliss Baldwin &amp; Eric von Hippel, </w:t>
      </w:r>
      <w:r w:rsidR="4B774E0D" w:rsidRPr="4B774E0D">
        <w:rPr>
          <w:i/>
        </w:rPr>
        <w:t>Modeling a Paradigm Shift: From Producer Innovation to User and Open Collaborative Innovation</w:t>
      </w:r>
      <w:r w:rsidR="4B774E0D" w:rsidRPr="4B774E0D">
        <w:t xml:space="preserve">, 22 </w:t>
      </w:r>
      <w:r w:rsidR="4B774E0D" w:rsidRPr="4B774E0D">
        <w:rPr>
          <w:smallCaps/>
        </w:rPr>
        <w:t>Org. Sci.</w:t>
      </w:r>
      <w:r w:rsidR="4B774E0D" w:rsidRPr="4B774E0D">
        <w:t xml:space="preserve"> 1399, 1406 (2011); James E. Corbly, </w:t>
      </w:r>
      <w:r w:rsidR="4B774E0D" w:rsidRPr="4B774E0D">
        <w:rPr>
          <w:i/>
        </w:rPr>
        <w:t>The Free Software Alternative: Freeware, Open Source Software, and Libraries</w:t>
      </w:r>
      <w:r w:rsidR="4B774E0D" w:rsidRPr="4B774E0D">
        <w:t xml:space="preserve">, 33 </w:t>
      </w:r>
      <w:r w:rsidR="4B774E0D" w:rsidRPr="4B774E0D">
        <w:rPr>
          <w:smallCaps/>
        </w:rPr>
        <w:t>Info. Tech. &amp; Librs.</w:t>
      </w:r>
      <w:r w:rsidR="4B774E0D" w:rsidRPr="4B774E0D">
        <w:t xml:space="preserve"> 65, 66 (2014); Sheen S. Levine &amp; Michael J. Prietula, </w:t>
      </w:r>
      <w:r w:rsidR="4B774E0D" w:rsidRPr="4B774E0D">
        <w:rPr>
          <w:i/>
        </w:rPr>
        <w:t>Open Collaboration for Innovation: Principles and Performance</w:t>
      </w:r>
      <w:r w:rsidR="4B774E0D" w:rsidRPr="4B774E0D">
        <w:t xml:space="preserve">, 25 </w:t>
      </w:r>
      <w:r w:rsidR="4B774E0D" w:rsidRPr="4B774E0D">
        <w:rPr>
          <w:smallCaps/>
        </w:rPr>
        <w:t>Org. Sci.</w:t>
      </w:r>
      <w:r w:rsidR="4B774E0D" w:rsidRPr="4B774E0D">
        <w:t xml:space="preserve"> 1414, 1416 (2014).</w:t>
      </w:r>
    </w:p>
  </w:footnote>
  <w:footnote w:id="20">
    <w:p w14:paraId="57D26EE1" w14:textId="442D8DF3" w:rsidR="0004402C" w:rsidRPr="0004402C" w:rsidRDefault="0004402C" w:rsidP="00923377">
      <w:pPr>
        <w:pStyle w:val="FootNotePara"/>
        <w:suppressAutoHyphens/>
      </w:pPr>
      <w:r w:rsidRPr="00AB0640">
        <w:footnoteRef/>
      </w:r>
      <w:r w:rsidR="00AB0640">
        <w:t>.</w:t>
      </w:r>
      <w:r w:rsidR="00F60F7C" w:rsidRPr="00AB0640">
        <w:t xml:space="preserve"> </w:t>
      </w:r>
      <w:r w:rsidRPr="00AB0640">
        <w:tab/>
      </w:r>
      <w:r w:rsidR="4B774E0D" w:rsidRPr="00FA5391">
        <w:rPr>
          <w:smallCaps/>
        </w:rPr>
        <w:t xml:space="preserve">Gordon Haff, How Open Source Ate Software: Understand the Open Source Movement and So Much More </w:t>
      </w:r>
      <w:r w:rsidR="4B774E0D" w:rsidRPr="4B774E0D">
        <w:t>76 (2d ed. 2021).</w:t>
      </w:r>
    </w:p>
  </w:footnote>
  <w:footnote w:id="21">
    <w:p w14:paraId="3EF483FB" w14:textId="2EC01D05" w:rsidR="0004402C" w:rsidRPr="0004402C" w:rsidRDefault="0004402C" w:rsidP="00923377">
      <w:pPr>
        <w:pStyle w:val="FootNotePara"/>
        <w:suppressAutoHyphens/>
      </w:pPr>
      <w:r w:rsidRPr="00AB0640">
        <w:footnoteRef/>
      </w:r>
      <w:r w:rsidR="00AB0640">
        <w:t>.</w:t>
      </w:r>
      <w:r w:rsidR="00F60F7C" w:rsidRPr="00AB0640">
        <w:t xml:space="preserve"> </w:t>
      </w:r>
      <w:r w:rsidRPr="0004402C">
        <w:tab/>
      </w:r>
      <w:r w:rsidR="4B774E0D" w:rsidRPr="4B774E0D">
        <w:t xml:space="preserve">Brian de Alwis &amp; Jonathan Sillito, </w:t>
      </w:r>
      <w:r w:rsidR="4B774E0D" w:rsidRPr="4B774E0D">
        <w:rPr>
          <w:i/>
        </w:rPr>
        <w:t>Why Are Software Projects Moving From Centralized to Decentralized Version Control Systems?</w:t>
      </w:r>
      <w:r w:rsidR="4B774E0D">
        <w:rPr>
          <w:i/>
        </w:rPr>
        <w:t>,</w:t>
      </w:r>
      <w:r w:rsidR="4B774E0D" w:rsidRPr="4B774E0D">
        <w:t xml:space="preserve"> </w:t>
      </w:r>
      <w:r w:rsidR="4B774E0D" w:rsidRPr="4B774E0D">
        <w:rPr>
          <w:i/>
        </w:rPr>
        <w:t>in</w:t>
      </w:r>
      <w:r w:rsidR="4B774E0D" w:rsidRPr="4B774E0D">
        <w:t xml:space="preserve"> </w:t>
      </w:r>
      <w:r w:rsidR="4B774E0D" w:rsidRPr="4B774E0D">
        <w:rPr>
          <w:smallCaps/>
        </w:rPr>
        <w:t>2009 ICSE Workshop on Coop. &amp; Hum. Aspects on Software Eng’g</w:t>
      </w:r>
      <w:r w:rsidRPr="4B774E0D">
        <w:t xml:space="preserve"> </w:t>
      </w:r>
      <w:r w:rsidR="00AF3209">
        <w:t>36, 36</w:t>
      </w:r>
      <w:r w:rsidR="00271F80">
        <w:t xml:space="preserve"> (</w:t>
      </w:r>
      <w:r w:rsidR="00271F80" w:rsidRPr="4B774E0D">
        <w:t>May 2009</w:t>
      </w:r>
      <w:r w:rsidR="00271F80">
        <w:t>)</w:t>
      </w:r>
      <w:r w:rsidRPr="4B774E0D">
        <w:t>.</w:t>
      </w:r>
    </w:p>
  </w:footnote>
  <w:footnote w:id="22">
    <w:p w14:paraId="457810A5" w14:textId="274DA0AF" w:rsidR="0004402C" w:rsidRPr="0004402C" w:rsidRDefault="0004402C" w:rsidP="00923377">
      <w:pPr>
        <w:pStyle w:val="FootNotePara"/>
        <w:suppressAutoHyphens/>
      </w:pPr>
      <w:r w:rsidRPr="00AB0640">
        <w:footnoteRef/>
      </w:r>
      <w:r w:rsidR="00AB0640">
        <w:t>.</w:t>
      </w:r>
      <w:r w:rsidR="00F60F7C" w:rsidRPr="00AB0640">
        <w:t xml:space="preserve"> </w:t>
      </w:r>
      <w:r w:rsidR="4B774E0D" w:rsidRPr="4B774E0D">
        <w:rPr>
          <w:i/>
        </w:rPr>
        <w:t>I</w:t>
      </w:r>
      <w:r w:rsidR="4B774E0D" w:rsidRPr="005D40AC">
        <w:rPr>
          <w:i/>
        </w:rPr>
        <w:t>d.</w:t>
      </w:r>
    </w:p>
  </w:footnote>
  <w:footnote w:id="23">
    <w:p w14:paraId="2A236954" w14:textId="681A2F71" w:rsidR="0004402C" w:rsidRPr="0004402C" w:rsidRDefault="0004402C" w:rsidP="00923377">
      <w:pPr>
        <w:pStyle w:val="FootNotePara"/>
        <w:suppressAutoHyphens/>
      </w:pPr>
      <w:r w:rsidRPr="00AB0640">
        <w:footnoteRef/>
      </w:r>
      <w:r w:rsidR="00AB0640">
        <w:t>.</w:t>
      </w:r>
      <w:r w:rsidR="00E77281" w:rsidRPr="00AB0640">
        <w:t xml:space="preserve"> </w:t>
      </w:r>
      <w:r w:rsidRPr="0004402C">
        <w:rPr>
          <w:rFonts w:cs="Times New Roman (Body CS)"/>
          <w:smallCaps/>
        </w:rPr>
        <w:tab/>
      </w:r>
      <w:r w:rsidR="4B774E0D" w:rsidRPr="4B774E0D">
        <w:rPr>
          <w:smallCaps/>
        </w:rPr>
        <w:t>Scott Chacon &amp; Ben Straub</w:t>
      </w:r>
      <w:r w:rsidR="4B774E0D" w:rsidRPr="4B774E0D">
        <w:t xml:space="preserve">, </w:t>
      </w:r>
      <w:r w:rsidR="4B774E0D" w:rsidRPr="4B774E0D">
        <w:rPr>
          <w:smallCaps/>
        </w:rPr>
        <w:t>Pro Git</w:t>
      </w:r>
      <w:r w:rsidR="4B774E0D" w:rsidRPr="4B774E0D">
        <w:t xml:space="preserve"> 10 (2d ed. 2014).</w:t>
      </w:r>
    </w:p>
  </w:footnote>
  <w:footnote w:id="24">
    <w:p w14:paraId="46DB28D0" w14:textId="288AACEF" w:rsidR="0004402C" w:rsidRPr="0004402C" w:rsidRDefault="0004402C" w:rsidP="00923377">
      <w:pPr>
        <w:pStyle w:val="FootNotePara"/>
        <w:suppressAutoHyphens/>
      </w:pPr>
      <w:r w:rsidRPr="00117CD3">
        <w:footnoteRef/>
      </w:r>
      <w:r w:rsidR="00117CD3">
        <w:t>.</w:t>
      </w:r>
      <w:r w:rsidR="4B774E0D" w:rsidRPr="00117CD3">
        <w:t xml:space="preserve"> </w:t>
      </w:r>
      <w:r w:rsidR="4B774E0D" w:rsidRPr="00DE7075">
        <w:t xml:space="preserve">Ali Koc &amp; Abdullah Uz Tansel, </w:t>
      </w:r>
      <w:r w:rsidR="4B774E0D" w:rsidRPr="00DE7075">
        <w:rPr>
          <w:i/>
        </w:rPr>
        <w:t>A Survey of Version Control Systems</w:t>
      </w:r>
      <w:r w:rsidR="4B774E0D" w:rsidRPr="00DE7075">
        <w:t xml:space="preserve">, </w:t>
      </w:r>
      <w:r w:rsidR="4B774E0D" w:rsidRPr="00DE7075">
        <w:rPr>
          <w:i/>
        </w:rPr>
        <w:t>in</w:t>
      </w:r>
      <w:r w:rsidR="4B774E0D" w:rsidRPr="00DE7075">
        <w:t xml:space="preserve"> </w:t>
      </w:r>
      <w:r w:rsidR="4B774E0D" w:rsidRPr="00DE7075">
        <w:rPr>
          <w:smallCaps/>
        </w:rPr>
        <w:t>The 2d Int’l Conf. on Eng’g &amp; Meta-Eng’g: ICEME 2011</w:t>
      </w:r>
      <w:r w:rsidR="4B774E0D" w:rsidRPr="00DE7075">
        <w:t xml:space="preserve"> 1, 1–2 (2011).</w:t>
      </w:r>
    </w:p>
  </w:footnote>
  <w:footnote w:id="25">
    <w:p w14:paraId="60B99D82" w14:textId="3B1045EB" w:rsidR="0004402C" w:rsidRPr="002731EF" w:rsidRDefault="0004402C" w:rsidP="00923377">
      <w:pPr>
        <w:pStyle w:val="FootNotePara"/>
        <w:suppressAutoHyphens/>
        <w:rPr>
          <w:lang w:val="da-DK"/>
        </w:rPr>
      </w:pPr>
      <w:r w:rsidRPr="00117CD3">
        <w:footnoteRef/>
      </w:r>
      <w:r w:rsidR="00117CD3">
        <w:rPr>
          <w:lang w:val="da-DK"/>
        </w:rPr>
        <w:t>.</w:t>
      </w:r>
      <w:r w:rsidR="002731EF">
        <w:rPr>
          <w:lang w:val="da-DK"/>
        </w:rPr>
        <w:t xml:space="preserve"> </w:t>
      </w:r>
      <w:r w:rsidR="4B774E0D" w:rsidRPr="002731EF">
        <w:rPr>
          <w:i/>
          <w:lang w:val="da-DK"/>
        </w:rPr>
        <w:t>Id.</w:t>
      </w:r>
      <w:r w:rsidR="4B774E0D" w:rsidRPr="002731EF">
        <w:rPr>
          <w:lang w:val="da-DK"/>
        </w:rPr>
        <w:t xml:space="preserve"> at 1.</w:t>
      </w:r>
    </w:p>
  </w:footnote>
  <w:footnote w:id="26">
    <w:p w14:paraId="4BDC7E49" w14:textId="7B72072A" w:rsidR="0004402C" w:rsidRPr="002731EF" w:rsidRDefault="0004402C" w:rsidP="00923377">
      <w:pPr>
        <w:pStyle w:val="FootNotePara"/>
        <w:suppressAutoHyphens/>
        <w:rPr>
          <w:lang w:val="da-DK"/>
        </w:rPr>
      </w:pPr>
      <w:r w:rsidRPr="00117CD3">
        <w:footnoteRef/>
      </w:r>
      <w:r w:rsidR="00117CD3">
        <w:t>.</w:t>
      </w:r>
      <w:r w:rsidR="002731EF" w:rsidRPr="00117CD3">
        <w:t xml:space="preserve"> </w:t>
      </w:r>
      <w:r w:rsidR="4B774E0D" w:rsidRPr="002731EF">
        <w:rPr>
          <w:i/>
          <w:lang w:val="da-DK"/>
        </w:rPr>
        <w:t>Id.</w:t>
      </w:r>
      <w:r w:rsidR="4B774E0D" w:rsidRPr="002731EF">
        <w:rPr>
          <w:lang w:val="da-DK"/>
        </w:rPr>
        <w:t xml:space="preserve"> at 1–2.</w:t>
      </w:r>
    </w:p>
  </w:footnote>
  <w:footnote w:id="27">
    <w:p w14:paraId="64E58C3C" w14:textId="242BB0A6" w:rsidR="0004402C" w:rsidRPr="002731EF" w:rsidRDefault="0004402C" w:rsidP="00923377">
      <w:pPr>
        <w:pStyle w:val="FootNotePara"/>
        <w:suppressAutoHyphens/>
        <w:rPr>
          <w:lang w:val="da-DK"/>
        </w:rPr>
      </w:pPr>
      <w:r w:rsidRPr="00117CD3">
        <w:footnoteRef/>
      </w:r>
      <w:r w:rsidR="00117CD3">
        <w:t>.</w:t>
      </w:r>
      <w:r w:rsidR="002731EF" w:rsidRPr="00117CD3">
        <w:t xml:space="preserve"> </w:t>
      </w:r>
      <w:r w:rsidR="4B774E0D" w:rsidRPr="002731EF">
        <w:rPr>
          <w:rFonts w:eastAsia="Century Schoolbook" w:cs="Century Schoolbook"/>
          <w:i/>
          <w:szCs w:val="16"/>
          <w:lang w:val="da-DK"/>
        </w:rPr>
        <w:t>Id.</w:t>
      </w:r>
      <w:r w:rsidR="4B774E0D" w:rsidRPr="002731EF">
        <w:rPr>
          <w:rFonts w:eastAsia="Century Schoolbook" w:cs="Century Schoolbook"/>
          <w:szCs w:val="16"/>
          <w:lang w:val="da-DK"/>
        </w:rPr>
        <w:t xml:space="preserve"> at 2.</w:t>
      </w:r>
    </w:p>
  </w:footnote>
  <w:footnote w:id="28">
    <w:p w14:paraId="5541D235" w14:textId="3B249996" w:rsidR="0004402C" w:rsidRPr="002731EF" w:rsidRDefault="0004402C" w:rsidP="00923377">
      <w:pPr>
        <w:pStyle w:val="FootNotePara"/>
        <w:suppressAutoHyphens/>
        <w:rPr>
          <w:u w:val="single"/>
          <w:lang w:val="da-DK"/>
        </w:rPr>
      </w:pPr>
      <w:r w:rsidRPr="00117CD3">
        <w:footnoteRef/>
      </w:r>
      <w:r w:rsidR="00117CD3">
        <w:t>.</w:t>
      </w:r>
      <w:r w:rsidR="002731EF" w:rsidRPr="00117CD3">
        <w:t xml:space="preserve"> </w:t>
      </w:r>
      <w:r w:rsidR="4B774E0D" w:rsidRPr="002731EF">
        <w:rPr>
          <w:i/>
          <w:lang w:val="da-DK"/>
        </w:rPr>
        <w:t>Id.</w:t>
      </w:r>
    </w:p>
  </w:footnote>
  <w:footnote w:id="29">
    <w:p w14:paraId="592A111F" w14:textId="0624DBB3" w:rsidR="0004402C" w:rsidRPr="002731EF" w:rsidRDefault="0004402C" w:rsidP="00923377">
      <w:pPr>
        <w:pStyle w:val="FootNotePara"/>
        <w:suppressAutoHyphens/>
        <w:rPr>
          <w:lang w:val="da-DK"/>
        </w:rPr>
      </w:pPr>
      <w:r w:rsidRPr="00117CD3">
        <w:footnoteRef/>
      </w:r>
      <w:r w:rsidR="00117CD3">
        <w:t>.</w:t>
      </w:r>
      <w:r w:rsidR="002731EF" w:rsidRPr="00117CD3">
        <w:t xml:space="preserve"> </w:t>
      </w:r>
      <w:r w:rsidR="4B774E0D" w:rsidRPr="002731EF">
        <w:rPr>
          <w:i/>
          <w:lang w:val="da-DK"/>
        </w:rPr>
        <w:t>Id.</w:t>
      </w:r>
    </w:p>
  </w:footnote>
  <w:footnote w:id="30">
    <w:p w14:paraId="3DDFB23F" w14:textId="4F0D0B16" w:rsidR="0004402C" w:rsidRPr="002731EF" w:rsidRDefault="0004402C" w:rsidP="00923377">
      <w:pPr>
        <w:pStyle w:val="FootNotePara"/>
        <w:suppressAutoHyphens/>
        <w:rPr>
          <w:lang w:val="da-DK"/>
        </w:rPr>
      </w:pPr>
      <w:r w:rsidRPr="00117CD3">
        <w:footnoteRef/>
      </w:r>
      <w:r w:rsidR="00117CD3">
        <w:t>.</w:t>
      </w:r>
      <w:r w:rsidR="002731EF" w:rsidRPr="00117CD3">
        <w:t xml:space="preserve"> </w:t>
      </w:r>
      <w:r w:rsidR="4B774E0D" w:rsidRPr="002731EF">
        <w:rPr>
          <w:smallCaps/>
          <w:lang w:val="da-DK"/>
        </w:rPr>
        <w:t>Stefan Otte</w:t>
      </w:r>
      <w:r w:rsidR="4B774E0D" w:rsidRPr="002731EF">
        <w:rPr>
          <w:lang w:val="da-DK"/>
        </w:rPr>
        <w:t xml:space="preserve">, </w:t>
      </w:r>
      <w:r w:rsidR="4B774E0D" w:rsidRPr="002731EF">
        <w:rPr>
          <w:smallCaps/>
          <w:lang w:val="da-DK"/>
        </w:rPr>
        <w:t>Version Control Systems</w:t>
      </w:r>
      <w:r w:rsidR="4B774E0D" w:rsidRPr="002731EF">
        <w:rPr>
          <w:lang w:val="da-DK"/>
        </w:rPr>
        <w:t xml:space="preserve"> 1 (2009).</w:t>
      </w:r>
    </w:p>
  </w:footnote>
  <w:footnote w:id="31">
    <w:p w14:paraId="49C5E883" w14:textId="3FFE2D5B" w:rsidR="0004402C" w:rsidRPr="00C27CAE" w:rsidRDefault="0004402C" w:rsidP="00923377">
      <w:pPr>
        <w:pStyle w:val="FootNotePara"/>
        <w:suppressAutoHyphens/>
        <w:rPr>
          <w:lang w:val="da-DK"/>
        </w:rPr>
      </w:pPr>
      <w:r w:rsidRPr="00117CD3">
        <w:footnoteRef/>
      </w:r>
      <w:r w:rsidR="00117CD3">
        <w:t>.</w:t>
      </w:r>
      <w:r w:rsidR="00900B0F" w:rsidRPr="00117CD3">
        <w:t xml:space="preserve"> </w:t>
      </w:r>
      <w:r w:rsidR="4B774E0D" w:rsidRPr="00900B0F">
        <w:rPr>
          <w:smallCaps/>
          <w:lang w:val="da-DK"/>
        </w:rPr>
        <w:t>Chacon &amp; Straub</w:t>
      </w:r>
      <w:r w:rsidR="4B774E0D" w:rsidRPr="00900B0F">
        <w:rPr>
          <w:lang w:val="da-DK"/>
        </w:rPr>
        <w:t xml:space="preserve">, </w:t>
      </w:r>
      <w:r w:rsidR="4B774E0D" w:rsidRPr="00900B0F">
        <w:rPr>
          <w:i/>
          <w:lang w:val="da-DK"/>
        </w:rPr>
        <w:t>supra</w:t>
      </w:r>
      <w:r w:rsidR="4B774E0D" w:rsidRPr="00900B0F">
        <w:rPr>
          <w:lang w:val="da-DK"/>
        </w:rPr>
        <w:t xml:space="preserve"> note 2</w:t>
      </w:r>
      <w:r w:rsidR="005B6987">
        <w:rPr>
          <w:rFonts w:cs="Times New Roman (Body CS)"/>
        </w:rPr>
        <w:t>1</w:t>
      </w:r>
      <w:r w:rsidR="4B774E0D" w:rsidRPr="006B1B4B">
        <w:rPr>
          <w:lang w:val="da-DK"/>
        </w:rPr>
        <w:t xml:space="preserve">, at 11; de Alwis &amp; Sillito, </w:t>
      </w:r>
      <w:r w:rsidR="4B774E0D" w:rsidRPr="006B1B4B">
        <w:rPr>
          <w:i/>
          <w:lang w:val="da-DK"/>
        </w:rPr>
        <w:t>supra</w:t>
      </w:r>
      <w:r w:rsidR="4B774E0D" w:rsidRPr="006B1B4B">
        <w:rPr>
          <w:lang w:val="da-DK"/>
        </w:rPr>
        <w:t xml:space="preserve"> note 1</w:t>
      </w:r>
      <w:r w:rsidR="005B6987">
        <w:rPr>
          <w:lang w:val="da-DK"/>
        </w:rPr>
        <w:t>9</w:t>
      </w:r>
      <w:r w:rsidR="4B774E0D" w:rsidRPr="00C27CAE">
        <w:rPr>
          <w:lang w:val="da-DK"/>
        </w:rPr>
        <w:t xml:space="preserve">, at 37; Nazatul Nurlisa Zolkifli et al., </w:t>
      </w:r>
      <w:r w:rsidR="4B774E0D" w:rsidRPr="00C27CAE">
        <w:rPr>
          <w:i/>
          <w:lang w:val="da-DK"/>
        </w:rPr>
        <w:t>Version Control System: A Review</w:t>
      </w:r>
      <w:r w:rsidR="4B774E0D" w:rsidRPr="00C27CAE">
        <w:rPr>
          <w:lang w:val="da-DK"/>
        </w:rPr>
        <w:t xml:space="preserve">, 135 </w:t>
      </w:r>
      <w:r w:rsidR="4B774E0D" w:rsidRPr="00C27CAE">
        <w:rPr>
          <w:smallCaps/>
          <w:lang w:val="da-DK"/>
        </w:rPr>
        <w:t>Procedia Comput. Sci.</w:t>
      </w:r>
      <w:r w:rsidR="4B774E0D" w:rsidRPr="00C27CAE">
        <w:rPr>
          <w:lang w:val="da-DK"/>
        </w:rPr>
        <w:t xml:space="preserve"> 408, 410 (2018).</w:t>
      </w:r>
    </w:p>
  </w:footnote>
  <w:footnote w:id="32">
    <w:p w14:paraId="4875CA52" w14:textId="5CF4D3B9" w:rsidR="0004402C" w:rsidRPr="006B1B4B" w:rsidRDefault="0004402C" w:rsidP="00923377">
      <w:pPr>
        <w:pStyle w:val="FootNotePara"/>
        <w:suppressAutoHyphens/>
        <w:rPr>
          <w:lang w:val="da-DK"/>
        </w:rPr>
      </w:pPr>
      <w:r w:rsidRPr="00117CD3">
        <w:footnoteRef/>
      </w:r>
      <w:r w:rsidR="00117CD3">
        <w:t>.</w:t>
      </w:r>
      <w:r w:rsidR="009B0F45" w:rsidRPr="00117CD3">
        <w:t xml:space="preserve"> </w:t>
      </w:r>
      <w:r w:rsidR="4B774E0D" w:rsidRPr="00E927C1">
        <w:rPr>
          <w:smallCaps/>
          <w:lang w:val="da-DK"/>
        </w:rPr>
        <w:t>Chacon &amp; Straub</w:t>
      </w:r>
      <w:r w:rsidR="4B774E0D" w:rsidRPr="00E927C1">
        <w:rPr>
          <w:lang w:val="da-DK"/>
        </w:rPr>
        <w:t xml:space="preserve">, </w:t>
      </w:r>
      <w:r w:rsidR="4B774E0D" w:rsidRPr="00E927C1">
        <w:rPr>
          <w:i/>
          <w:lang w:val="da-DK"/>
        </w:rPr>
        <w:t>supra</w:t>
      </w:r>
      <w:r w:rsidR="4B774E0D" w:rsidRPr="00E927C1">
        <w:rPr>
          <w:lang w:val="da-DK"/>
        </w:rPr>
        <w:t xml:space="preserve"> note </w:t>
      </w:r>
      <w:r w:rsidR="00567DB9">
        <w:rPr>
          <w:lang w:val="da-DK"/>
        </w:rPr>
        <w:t>21</w:t>
      </w:r>
      <w:r w:rsidR="4B774E0D" w:rsidRPr="006B1B4B">
        <w:rPr>
          <w:lang w:val="da-DK"/>
        </w:rPr>
        <w:t>, at 12.</w:t>
      </w:r>
    </w:p>
  </w:footnote>
  <w:footnote w:id="33">
    <w:p w14:paraId="69DF98BC" w14:textId="376B4570" w:rsidR="0004402C" w:rsidRPr="006B1B4B" w:rsidRDefault="0004402C" w:rsidP="00923377">
      <w:pPr>
        <w:pStyle w:val="FootNotePara"/>
        <w:suppressAutoHyphens/>
        <w:rPr>
          <w:lang w:val="da-DK"/>
        </w:rPr>
      </w:pPr>
      <w:r w:rsidRPr="00117CD3">
        <w:footnoteRef/>
      </w:r>
      <w:r w:rsidR="00117CD3">
        <w:rPr>
          <w:lang w:val="da-DK"/>
        </w:rPr>
        <w:t>.</w:t>
      </w:r>
      <w:r w:rsidR="00072E10">
        <w:rPr>
          <w:lang w:val="da-DK"/>
        </w:rPr>
        <w:t xml:space="preserve"> </w:t>
      </w:r>
      <w:r w:rsidR="4B774E0D" w:rsidRPr="00E927C1">
        <w:rPr>
          <w:lang w:val="da-DK"/>
        </w:rPr>
        <w:t xml:space="preserve">de Alwis &amp; Sillito, </w:t>
      </w:r>
      <w:r w:rsidR="4B774E0D" w:rsidRPr="00E927C1">
        <w:rPr>
          <w:i/>
          <w:lang w:val="da-DK"/>
        </w:rPr>
        <w:t>supra</w:t>
      </w:r>
      <w:r w:rsidR="4B774E0D" w:rsidRPr="00E927C1">
        <w:rPr>
          <w:lang w:val="da-DK"/>
        </w:rPr>
        <w:t xml:space="preserve"> note 1</w:t>
      </w:r>
      <w:r w:rsidR="00567DB9">
        <w:rPr>
          <w:lang w:val="da-DK"/>
        </w:rPr>
        <w:t>9</w:t>
      </w:r>
      <w:r w:rsidR="4B774E0D" w:rsidRPr="006B1B4B">
        <w:rPr>
          <w:lang w:val="da-DK"/>
        </w:rPr>
        <w:t>, at 37.</w:t>
      </w:r>
    </w:p>
  </w:footnote>
  <w:footnote w:id="34">
    <w:p w14:paraId="41F3422F" w14:textId="6900FD94" w:rsidR="0004402C" w:rsidRPr="00B82D3A" w:rsidRDefault="0004402C" w:rsidP="00923377">
      <w:pPr>
        <w:pStyle w:val="FootNotePara"/>
        <w:suppressAutoHyphens/>
        <w:rPr>
          <w:lang w:val="da-DK"/>
        </w:rPr>
      </w:pPr>
      <w:r w:rsidRPr="00117CD3">
        <w:footnoteRef/>
      </w:r>
      <w:r w:rsidR="00117CD3">
        <w:rPr>
          <w:lang w:val="da-DK"/>
        </w:rPr>
        <w:t>.</w:t>
      </w:r>
      <w:r w:rsidR="00B82D3A">
        <w:rPr>
          <w:lang w:val="da-DK"/>
        </w:rPr>
        <w:t xml:space="preserve"> </w:t>
      </w:r>
      <w:r w:rsidR="4B774E0D" w:rsidRPr="00B82D3A">
        <w:rPr>
          <w:lang w:val="da-DK"/>
        </w:rPr>
        <w:t xml:space="preserve">Koc &amp; Tansel, </w:t>
      </w:r>
      <w:r w:rsidR="4B774E0D" w:rsidRPr="00B82D3A">
        <w:rPr>
          <w:i/>
          <w:lang w:val="da-DK"/>
        </w:rPr>
        <w:t>supra</w:t>
      </w:r>
      <w:r w:rsidR="4B774E0D" w:rsidRPr="00B82D3A">
        <w:rPr>
          <w:lang w:val="da-DK"/>
        </w:rPr>
        <w:t xml:space="preserve"> note 2</w:t>
      </w:r>
      <w:r w:rsidR="00B82D3A">
        <w:rPr>
          <w:lang w:val="da-DK"/>
        </w:rPr>
        <w:t>2</w:t>
      </w:r>
      <w:r w:rsidR="4B774E0D" w:rsidRPr="00B82D3A">
        <w:rPr>
          <w:lang w:val="da-DK"/>
        </w:rPr>
        <w:t>, at 4–5.</w:t>
      </w:r>
    </w:p>
  </w:footnote>
  <w:footnote w:id="35">
    <w:p w14:paraId="2C3ECF68" w14:textId="1BCD2115" w:rsidR="0004402C" w:rsidRPr="000D203D" w:rsidRDefault="0004402C" w:rsidP="00923377">
      <w:pPr>
        <w:pStyle w:val="FootNotePara"/>
        <w:suppressAutoHyphens/>
        <w:rPr>
          <w:lang w:val="da-DK"/>
        </w:rPr>
      </w:pPr>
      <w:r w:rsidRPr="00117CD3">
        <w:footnoteRef/>
      </w:r>
      <w:r w:rsidR="00117CD3">
        <w:t>.</w:t>
      </w:r>
      <w:r w:rsidRPr="00117CD3">
        <w:tab/>
      </w:r>
      <w:r w:rsidR="4B774E0D" w:rsidRPr="00B82D3A">
        <w:rPr>
          <w:rFonts w:eastAsia="Century Schoolbook" w:cs="Century Schoolbook"/>
          <w:szCs w:val="16"/>
          <w:lang w:val="da-DK"/>
        </w:rPr>
        <w:t xml:space="preserve">de Alwis &amp; Sillito, </w:t>
      </w:r>
      <w:r w:rsidR="4B774E0D" w:rsidRPr="00B82D3A">
        <w:rPr>
          <w:rFonts w:eastAsia="Century Schoolbook" w:cs="Century Schoolbook"/>
          <w:i/>
          <w:szCs w:val="16"/>
          <w:lang w:val="da-DK"/>
        </w:rPr>
        <w:t>supra</w:t>
      </w:r>
      <w:r w:rsidR="4B774E0D" w:rsidRPr="00B82D3A">
        <w:rPr>
          <w:rFonts w:eastAsia="Century Schoolbook" w:cs="Century Schoolbook"/>
          <w:szCs w:val="16"/>
          <w:lang w:val="da-DK"/>
        </w:rPr>
        <w:t xml:space="preserve"> note </w:t>
      </w:r>
      <w:r w:rsidR="4B774E0D" w:rsidRPr="00670294">
        <w:rPr>
          <w:rFonts w:eastAsia="Century Schoolbook" w:cs="Century Schoolbook"/>
          <w:szCs w:val="16"/>
          <w:lang w:val="da-DK"/>
        </w:rPr>
        <w:t>1</w:t>
      </w:r>
      <w:r w:rsidR="000D203D">
        <w:rPr>
          <w:rFonts w:eastAsia="Century Schoolbook" w:cs="Century Schoolbook"/>
          <w:szCs w:val="16"/>
          <w:lang w:val="da-DK"/>
        </w:rPr>
        <w:t>9</w:t>
      </w:r>
      <w:r w:rsidR="4B774E0D" w:rsidRPr="000D203D">
        <w:rPr>
          <w:rFonts w:eastAsia="Century Schoolbook" w:cs="Century Schoolbook"/>
          <w:szCs w:val="16"/>
          <w:lang w:val="da-DK"/>
        </w:rPr>
        <w:t>, at 37.</w:t>
      </w:r>
    </w:p>
  </w:footnote>
  <w:footnote w:id="36">
    <w:p w14:paraId="00A78374" w14:textId="277AEED5" w:rsidR="0004402C" w:rsidRPr="00670294" w:rsidRDefault="0004402C" w:rsidP="00923377">
      <w:pPr>
        <w:pStyle w:val="FootNotePara"/>
        <w:suppressAutoHyphens/>
        <w:rPr>
          <w:lang w:val="da-DK"/>
        </w:rPr>
      </w:pPr>
      <w:r w:rsidRPr="00117CD3">
        <w:footnoteRef/>
      </w:r>
      <w:r w:rsidR="00117CD3">
        <w:rPr>
          <w:lang w:val="da-DK"/>
        </w:rPr>
        <w:t>.</w:t>
      </w:r>
      <w:r w:rsidR="00E034EC">
        <w:rPr>
          <w:lang w:val="da-DK"/>
        </w:rPr>
        <w:t xml:space="preserve"> </w:t>
      </w:r>
      <w:r w:rsidR="4B774E0D" w:rsidRPr="00143657">
        <w:rPr>
          <w:smallCaps/>
          <w:lang w:val="da-DK"/>
        </w:rPr>
        <w:t>Chacon &amp; Straub</w:t>
      </w:r>
      <w:r w:rsidR="4B774E0D" w:rsidRPr="00E034EC">
        <w:rPr>
          <w:lang w:val="da-DK"/>
        </w:rPr>
        <w:t xml:space="preserve">, </w:t>
      </w:r>
      <w:r w:rsidR="4B774E0D" w:rsidRPr="00E034EC">
        <w:rPr>
          <w:i/>
          <w:lang w:val="da-DK"/>
        </w:rPr>
        <w:t>supra</w:t>
      </w:r>
      <w:r w:rsidR="4B774E0D" w:rsidRPr="00E034EC">
        <w:rPr>
          <w:lang w:val="da-DK"/>
        </w:rPr>
        <w:t xml:space="preserve"> note 2</w:t>
      </w:r>
      <w:r w:rsidR="00E034EC">
        <w:rPr>
          <w:lang w:val="da-DK"/>
        </w:rPr>
        <w:t>1</w:t>
      </w:r>
      <w:r w:rsidR="4B774E0D" w:rsidRPr="00670294">
        <w:rPr>
          <w:lang w:val="da-DK"/>
        </w:rPr>
        <w:t>, at 12.</w:t>
      </w:r>
    </w:p>
  </w:footnote>
  <w:footnote w:id="37">
    <w:p w14:paraId="356AB53C" w14:textId="322930CE" w:rsidR="0004402C" w:rsidRPr="00670294" w:rsidRDefault="0004402C" w:rsidP="00923377">
      <w:pPr>
        <w:pStyle w:val="FootNotePara"/>
        <w:suppressAutoHyphens/>
        <w:rPr>
          <w:lang w:val="da-DK"/>
        </w:rPr>
      </w:pPr>
      <w:r w:rsidRPr="00117CD3">
        <w:footnoteRef/>
      </w:r>
      <w:r w:rsidR="00117CD3">
        <w:rPr>
          <w:lang w:val="da-DK"/>
        </w:rPr>
        <w:t>.</w:t>
      </w:r>
      <w:r w:rsidR="002A1E8F">
        <w:rPr>
          <w:lang w:val="da-DK"/>
        </w:rPr>
        <w:t xml:space="preserve"> </w:t>
      </w:r>
      <w:r w:rsidR="4B774E0D" w:rsidRPr="002A1E8F">
        <w:rPr>
          <w:lang w:val="da-DK"/>
        </w:rPr>
        <w:t xml:space="preserve">de Alwis &amp; Sillito, </w:t>
      </w:r>
      <w:r w:rsidR="4B774E0D" w:rsidRPr="002A1E8F">
        <w:rPr>
          <w:i/>
          <w:lang w:val="da-DK"/>
        </w:rPr>
        <w:t>supra</w:t>
      </w:r>
      <w:r w:rsidR="4B774E0D" w:rsidRPr="002A1E8F">
        <w:rPr>
          <w:lang w:val="da-DK"/>
        </w:rPr>
        <w:t xml:space="preserve"> note </w:t>
      </w:r>
      <w:r w:rsidR="002A1E8F">
        <w:rPr>
          <w:lang w:val="da-DK"/>
        </w:rPr>
        <w:t>19</w:t>
      </w:r>
      <w:r w:rsidR="4B774E0D" w:rsidRPr="00670294">
        <w:rPr>
          <w:lang w:val="da-DK"/>
        </w:rPr>
        <w:t>, at 37–38.</w:t>
      </w:r>
    </w:p>
  </w:footnote>
  <w:footnote w:id="38">
    <w:p w14:paraId="59B78C33" w14:textId="0F78E50B" w:rsidR="0004402C" w:rsidRPr="000335CE" w:rsidRDefault="0004402C" w:rsidP="00923377">
      <w:pPr>
        <w:pStyle w:val="FootNotePara"/>
        <w:suppressAutoHyphens/>
      </w:pPr>
      <w:r w:rsidRPr="00117CD3">
        <w:footnoteRef/>
      </w:r>
      <w:r w:rsidR="00117CD3">
        <w:t>.</w:t>
      </w:r>
      <w:r w:rsidR="002A1E8F" w:rsidRPr="00117CD3">
        <w:t xml:space="preserve"> </w:t>
      </w:r>
      <w:r w:rsidR="4B774E0D" w:rsidRPr="000335CE">
        <w:rPr>
          <w:i/>
          <w:iCs/>
        </w:rPr>
        <w:t xml:space="preserve">Id. </w:t>
      </w:r>
      <w:r w:rsidR="4B774E0D" w:rsidRPr="000335CE">
        <w:t>at 37.</w:t>
      </w:r>
    </w:p>
  </w:footnote>
  <w:footnote w:id="39">
    <w:p w14:paraId="718A57D1" w14:textId="2BF79783" w:rsidR="0004402C" w:rsidRPr="00332915" w:rsidRDefault="0004402C" w:rsidP="00923377">
      <w:pPr>
        <w:pStyle w:val="FootNotePara"/>
        <w:suppressAutoHyphens/>
        <w:rPr>
          <w:lang w:val="da-DK"/>
        </w:rPr>
      </w:pPr>
      <w:r w:rsidRPr="00117CD3">
        <w:footnoteRef/>
      </w:r>
      <w:r w:rsidR="00117CD3">
        <w:rPr>
          <w:lang w:val="da-DK"/>
        </w:rPr>
        <w:t>.</w:t>
      </w:r>
      <w:r w:rsidR="00332915" w:rsidRPr="00332915">
        <w:rPr>
          <w:lang w:val="da-DK"/>
        </w:rPr>
        <w:t xml:space="preserve"> </w:t>
      </w:r>
      <w:r w:rsidR="4B774E0D" w:rsidRPr="00332915">
        <w:rPr>
          <w:i/>
          <w:lang w:val="da-DK"/>
        </w:rPr>
        <w:t>Id.</w:t>
      </w:r>
    </w:p>
  </w:footnote>
  <w:footnote w:id="40">
    <w:p w14:paraId="6357DE37" w14:textId="3D8E93DB" w:rsidR="0004402C" w:rsidRPr="00F802C0" w:rsidRDefault="0004402C" w:rsidP="00923377">
      <w:pPr>
        <w:pStyle w:val="FootNotePara"/>
        <w:suppressAutoHyphens/>
        <w:rPr>
          <w:lang w:val="da-DK"/>
        </w:rPr>
      </w:pPr>
      <w:r w:rsidRPr="00117CD3">
        <w:footnoteRef/>
      </w:r>
      <w:r w:rsidR="00117CD3">
        <w:t>.</w:t>
      </w:r>
      <w:r w:rsidR="00332915" w:rsidRPr="00117CD3">
        <w:t xml:space="preserve"> </w:t>
      </w:r>
      <w:r w:rsidR="4B774E0D" w:rsidRPr="00F802C0">
        <w:rPr>
          <w:smallCaps/>
          <w:lang w:val="da-DK"/>
        </w:rPr>
        <w:t>Chacon &amp; Straub</w:t>
      </w:r>
      <w:r w:rsidR="4B774E0D" w:rsidRPr="00F802C0">
        <w:rPr>
          <w:lang w:val="da-DK"/>
        </w:rPr>
        <w:t xml:space="preserve">, </w:t>
      </w:r>
      <w:r w:rsidR="4B774E0D" w:rsidRPr="00F802C0">
        <w:rPr>
          <w:i/>
          <w:lang w:val="da-DK"/>
        </w:rPr>
        <w:t>supra</w:t>
      </w:r>
      <w:r w:rsidR="4B774E0D" w:rsidRPr="00F802C0">
        <w:rPr>
          <w:lang w:val="da-DK"/>
        </w:rPr>
        <w:t xml:space="preserve"> note 2</w:t>
      </w:r>
      <w:r w:rsidR="00F802C0">
        <w:rPr>
          <w:lang w:val="da-DK"/>
        </w:rPr>
        <w:t>1</w:t>
      </w:r>
      <w:r w:rsidR="4B774E0D" w:rsidRPr="00F802C0">
        <w:rPr>
          <w:lang w:val="da-DK"/>
        </w:rPr>
        <w:t>, at 126.</w:t>
      </w:r>
    </w:p>
  </w:footnote>
  <w:footnote w:id="41">
    <w:p w14:paraId="3CF4D665" w14:textId="21CAFB3F" w:rsidR="0004402C" w:rsidRPr="002E3AEE" w:rsidRDefault="0004402C" w:rsidP="00923377">
      <w:pPr>
        <w:pStyle w:val="FootNotePara"/>
        <w:suppressAutoHyphens/>
        <w:rPr>
          <w:lang w:val="da-DK"/>
        </w:rPr>
      </w:pPr>
      <w:r w:rsidRPr="00117CD3">
        <w:footnoteRef/>
      </w:r>
      <w:r w:rsidR="00117CD3">
        <w:rPr>
          <w:lang w:val="da-DK"/>
        </w:rPr>
        <w:t>.</w:t>
      </w:r>
      <w:r w:rsidR="002E3AEE" w:rsidRPr="002E3AEE">
        <w:rPr>
          <w:lang w:val="da-DK"/>
        </w:rPr>
        <w:t xml:space="preserve"> </w:t>
      </w:r>
      <w:r w:rsidR="4B774E0D" w:rsidRPr="002E3AEE">
        <w:rPr>
          <w:i/>
          <w:lang w:val="da-DK"/>
        </w:rPr>
        <w:t xml:space="preserve">Id. </w:t>
      </w:r>
      <w:r w:rsidR="4B774E0D" w:rsidRPr="002E3AEE">
        <w:rPr>
          <w:lang w:val="da-DK"/>
        </w:rPr>
        <w:t>at 126–28.</w:t>
      </w:r>
    </w:p>
  </w:footnote>
  <w:footnote w:id="42">
    <w:p w14:paraId="17D1C88B" w14:textId="67F77CBE" w:rsidR="0004402C" w:rsidRPr="0004402C" w:rsidRDefault="0004402C" w:rsidP="00923377">
      <w:pPr>
        <w:pStyle w:val="FootNotePara"/>
        <w:suppressAutoHyphens/>
      </w:pPr>
      <w:r w:rsidRPr="00117CD3">
        <w:footnoteRef/>
      </w:r>
      <w:r w:rsidR="00117CD3">
        <w:t>.</w:t>
      </w:r>
      <w:r w:rsidR="002E3AEE" w:rsidRPr="00117CD3">
        <w:t xml:space="preserve"> </w:t>
      </w:r>
      <w:r w:rsidR="4B774E0D" w:rsidRPr="002E3AEE">
        <w:t xml:space="preserve">Caius Brindescu et al., </w:t>
      </w:r>
      <w:r w:rsidR="4B774E0D" w:rsidRPr="002E3AEE">
        <w:rPr>
          <w:i/>
        </w:rPr>
        <w:t>How Do Centralized and Distributed Version Control Systems Impact Software Changes?</w:t>
      </w:r>
      <w:r w:rsidR="4B774E0D" w:rsidRPr="002E3AEE">
        <w:t xml:space="preserve">, </w:t>
      </w:r>
      <w:r w:rsidR="4B774E0D" w:rsidRPr="002E3AEE">
        <w:rPr>
          <w:i/>
        </w:rPr>
        <w:t>in</w:t>
      </w:r>
      <w:r w:rsidR="4B774E0D" w:rsidRPr="002E3AEE">
        <w:t xml:space="preserve"> </w:t>
      </w:r>
      <w:r w:rsidR="4B774E0D" w:rsidRPr="002E3AEE">
        <w:rPr>
          <w:smallCaps/>
        </w:rPr>
        <w:t>ICSE 2014: Proc. 36th Int’l Conf. Software Eng’g</w:t>
      </w:r>
      <w:r w:rsidR="4B774E0D" w:rsidRPr="002E3AEE">
        <w:t xml:space="preserve"> 322, 325, 331 (2014).</w:t>
      </w:r>
    </w:p>
  </w:footnote>
  <w:footnote w:id="43">
    <w:p w14:paraId="66074CE4" w14:textId="412604C4" w:rsidR="0004402C" w:rsidRPr="0004402C" w:rsidRDefault="0004402C" w:rsidP="00923377">
      <w:pPr>
        <w:pStyle w:val="FootNotePara"/>
        <w:suppressAutoHyphens/>
      </w:pPr>
      <w:r w:rsidRPr="00CE27BE">
        <w:footnoteRef/>
      </w:r>
      <w:r w:rsidRPr="0004402C">
        <w:rPr>
          <w:rFonts w:cs="Times New Roman (Body CS)"/>
          <w:smallCaps/>
        </w:rPr>
        <w:tab/>
      </w:r>
      <w:r w:rsidR="00CE27BE">
        <w:rPr>
          <w:rFonts w:cs="Times New Roman (Body CS)"/>
          <w:smallCaps/>
        </w:rPr>
        <w:t xml:space="preserve">. </w:t>
      </w:r>
      <w:r w:rsidR="4B774E0D" w:rsidRPr="0004402C">
        <w:rPr>
          <w:rFonts w:cs="Times New Roman (Body CS)"/>
          <w:smallCaps/>
        </w:rPr>
        <w:t>Chacon &amp; Straub</w:t>
      </w:r>
      <w:r w:rsidR="4B774E0D" w:rsidRPr="0004402C">
        <w:rPr>
          <w:rFonts w:cs="Times New Roman (Body CS)"/>
        </w:rPr>
        <w:t xml:space="preserve">, </w:t>
      </w:r>
      <w:r w:rsidR="4B774E0D" w:rsidRPr="4B774E0D">
        <w:rPr>
          <w:rFonts w:cs="Times New Roman (Body CS)"/>
          <w:i/>
          <w:iCs/>
        </w:rPr>
        <w:t>supra</w:t>
      </w:r>
      <w:r w:rsidR="4B774E0D" w:rsidRPr="0004402C">
        <w:rPr>
          <w:rFonts w:cs="Times New Roman (Body CS)"/>
        </w:rPr>
        <w:t xml:space="preserve"> note 2</w:t>
      </w:r>
      <w:r w:rsidR="00755F59">
        <w:rPr>
          <w:rFonts w:cs="Times New Roman (Body CS)"/>
        </w:rPr>
        <w:t>1</w:t>
      </w:r>
      <w:r w:rsidR="4B774E0D" w:rsidRPr="0004402C">
        <w:rPr>
          <w:rFonts w:cs="Times New Roman (Body CS)"/>
        </w:rPr>
        <w:t>, at 50, 105.</w:t>
      </w:r>
    </w:p>
  </w:footnote>
  <w:footnote w:id="44">
    <w:p w14:paraId="411DC336" w14:textId="711D58A9" w:rsidR="0004402C" w:rsidRPr="0004402C" w:rsidRDefault="0004402C" w:rsidP="00923377">
      <w:pPr>
        <w:pStyle w:val="FootNotePara"/>
        <w:suppressAutoHyphens/>
      </w:pPr>
      <w:r w:rsidRPr="00CE27BE">
        <w:footnoteRef/>
      </w:r>
      <w:r w:rsidR="00CE27BE">
        <w:t xml:space="preserve">. </w:t>
      </w:r>
      <w:r w:rsidRPr="0004402C">
        <w:rPr>
          <w:rFonts w:cs="Times New Roman (Body CS)"/>
          <w:i/>
          <w:iCs/>
        </w:rPr>
        <w:tab/>
      </w:r>
      <w:r w:rsidR="4B774E0D" w:rsidRPr="4B774E0D">
        <w:rPr>
          <w:rFonts w:cs="Times New Roman (Body CS)"/>
          <w:i/>
          <w:iCs/>
        </w:rPr>
        <w:t>Id.</w:t>
      </w:r>
      <w:r w:rsidR="4B774E0D" w:rsidRPr="0004402C">
        <w:rPr>
          <w:rFonts w:cs="Times New Roman (Body CS)"/>
        </w:rPr>
        <w:t xml:space="preserve"> at 105.</w:t>
      </w:r>
    </w:p>
  </w:footnote>
  <w:footnote w:id="45">
    <w:p w14:paraId="2DD6B62D" w14:textId="40517405" w:rsidR="0004402C" w:rsidRPr="0004402C" w:rsidRDefault="0004402C" w:rsidP="00923377">
      <w:pPr>
        <w:pStyle w:val="FootNotePara"/>
        <w:suppressAutoHyphens/>
      </w:pPr>
      <w:r w:rsidRPr="00CE27BE">
        <w:footnoteRef/>
      </w:r>
      <w:r w:rsidR="00CE27BE">
        <w:t>.</w:t>
      </w:r>
      <w:r w:rsidR="000B0674" w:rsidRPr="00CE27BE">
        <w:t xml:space="preserve"> </w:t>
      </w:r>
      <w:r w:rsidRPr="00A7356E">
        <w:rPr>
          <w:rFonts w:eastAsia="Times New Roman"/>
          <w:i/>
          <w:iCs/>
        </w:rPr>
        <w:t>See</w:t>
      </w:r>
      <w:r w:rsidRPr="00A7356E">
        <w:rPr>
          <w:rFonts w:eastAsia="Times New Roman"/>
        </w:rPr>
        <w:t xml:space="preserve"> </w:t>
      </w:r>
      <w:r w:rsidRPr="00A7356E">
        <w:rPr>
          <w:rFonts w:eastAsia="Times New Roman" w:cs="Times New Roman (Body CS)"/>
          <w:i/>
          <w:iCs/>
        </w:rPr>
        <w:t>About</w:t>
      </w:r>
      <w:r w:rsidR="4B774E0D" w:rsidRPr="000B0674">
        <w:t xml:space="preserve">, </w:t>
      </w:r>
      <w:r w:rsidR="4B774E0D" w:rsidRPr="000B0674">
        <w:rPr>
          <w:smallCaps/>
        </w:rPr>
        <w:t>GitHub</w:t>
      </w:r>
      <w:r w:rsidR="4B774E0D" w:rsidRPr="00A7356E">
        <w:rPr>
          <w:rFonts w:eastAsia="Times New Roman" w:cs="Times New Roman (Body CS)"/>
        </w:rPr>
        <w:t xml:space="preserve">, </w:t>
      </w:r>
      <w:r w:rsidRPr="00A7356E">
        <w:rPr>
          <w:rFonts w:eastAsia="Times New Roman" w:cs="Times New Roman (Body CS)"/>
        </w:rPr>
        <w:t>https://github.com/about</w:t>
      </w:r>
      <w:r w:rsidR="4B774E0D" w:rsidRPr="000B0674">
        <w:t xml:space="preserve"> </w:t>
      </w:r>
      <w:r w:rsidR="00147FEA">
        <w:t>[</w:t>
      </w:r>
      <w:r w:rsidR="00BE050D" w:rsidRPr="00BE050D">
        <w:t>https://perma.cc/E8HQ-XVNA</w:t>
      </w:r>
      <w:r w:rsidR="00147FEA">
        <w:t>]</w:t>
      </w:r>
      <w:r w:rsidR="000B0674">
        <w:t xml:space="preserve"> </w:t>
      </w:r>
      <w:r w:rsidR="4B774E0D" w:rsidRPr="000B0674">
        <w:t xml:space="preserve">(last visited </w:t>
      </w:r>
      <w:r w:rsidR="00A7356E">
        <w:t>Dec</w:t>
      </w:r>
      <w:r w:rsidR="4B774E0D" w:rsidRPr="006B1B4B">
        <w:t>. 2</w:t>
      </w:r>
      <w:r w:rsidR="00A7356E">
        <w:t>3</w:t>
      </w:r>
      <w:r w:rsidR="4B774E0D" w:rsidRPr="006B1B4B">
        <w:t>, 202</w:t>
      </w:r>
      <w:r w:rsidR="00A7356E">
        <w:t>4</w:t>
      </w:r>
      <w:r w:rsidR="4B774E0D" w:rsidRPr="000B0674">
        <w:t xml:space="preserve">); </w:t>
      </w:r>
      <w:r w:rsidR="00D83C53">
        <w:rPr>
          <w:i/>
          <w:iCs/>
        </w:rPr>
        <w:t>s</w:t>
      </w:r>
      <w:r w:rsidR="00F243D3" w:rsidRPr="00F243D3">
        <w:rPr>
          <w:i/>
          <w:iCs/>
        </w:rPr>
        <w:t>ee</w:t>
      </w:r>
      <w:r w:rsidR="00A709B3">
        <w:rPr>
          <w:i/>
          <w:iCs/>
        </w:rPr>
        <w:t xml:space="preserve"> also</w:t>
      </w:r>
      <w:r w:rsidR="00F243D3">
        <w:t xml:space="preserve"> </w:t>
      </w:r>
      <w:r w:rsidRPr="000B0674">
        <w:rPr>
          <w:i/>
          <w:iCs/>
        </w:rPr>
        <w:t xml:space="preserve">About </w:t>
      </w:r>
      <w:r w:rsidR="4B774E0D" w:rsidRPr="000B0674">
        <w:rPr>
          <w:i/>
          <w:iCs/>
        </w:rPr>
        <w:t>GitLab</w:t>
      </w:r>
      <w:r w:rsidR="4B774E0D" w:rsidRPr="000B0674">
        <w:t xml:space="preserve">, </w:t>
      </w:r>
      <w:r w:rsidR="4B774E0D" w:rsidRPr="000B0674">
        <w:rPr>
          <w:smallCaps/>
        </w:rPr>
        <w:t>GitLab</w:t>
      </w:r>
      <w:r w:rsidR="4B774E0D" w:rsidRPr="000B0674">
        <w:t xml:space="preserve">, </w:t>
      </w:r>
      <w:r w:rsidRPr="000B0674">
        <w:t>https://about.gitlab.com/company/</w:t>
      </w:r>
      <w:r w:rsidR="4B774E0D">
        <w:t xml:space="preserve"> </w:t>
      </w:r>
      <w:r w:rsidR="005800E7">
        <w:t>[</w:t>
      </w:r>
      <w:r w:rsidR="4B774E0D" w:rsidRPr="00D8123B">
        <w:t>https://perma.cc/Z3T2-K6Q9</w:t>
      </w:r>
      <w:r w:rsidR="005800E7">
        <w:t>]</w:t>
      </w:r>
      <w:r w:rsidR="4B774E0D" w:rsidRPr="006B284E">
        <w:t xml:space="preserve"> (last visited Feb. 26, 2023); </w:t>
      </w:r>
      <w:r w:rsidR="4B774E0D" w:rsidRPr="006B284E">
        <w:rPr>
          <w:i/>
          <w:iCs/>
        </w:rPr>
        <w:t>SourceForge</w:t>
      </w:r>
      <w:r w:rsidR="4B774E0D" w:rsidRPr="006B284E">
        <w:t xml:space="preserve">, </w:t>
      </w:r>
      <w:r w:rsidR="4B774E0D" w:rsidRPr="006B284E">
        <w:rPr>
          <w:smallCaps/>
        </w:rPr>
        <w:t>SourceForge</w:t>
      </w:r>
      <w:r w:rsidR="4B774E0D" w:rsidRPr="006B284E">
        <w:t xml:space="preserve">, </w:t>
      </w:r>
      <w:r w:rsidRPr="006B284E">
        <w:rPr>
          <w:rFonts w:eastAsia="Times New Roman" w:cs="Times New Roman (Body CS)"/>
        </w:rPr>
        <w:t>https://sourceforge.net/about</w:t>
      </w:r>
      <w:r w:rsidR="4B774E0D" w:rsidRPr="4B774E0D">
        <w:t xml:space="preserve"> </w:t>
      </w:r>
      <w:r w:rsidR="006B284E">
        <w:t>[</w:t>
      </w:r>
      <w:r w:rsidR="4B774E0D" w:rsidRPr="4B774E0D">
        <w:t>https://perma.cc/TL44-ET4E</w:t>
      </w:r>
      <w:r w:rsidR="006B284E">
        <w:t>]</w:t>
      </w:r>
      <w:r w:rsidR="4B774E0D" w:rsidRPr="006B284E">
        <w:t xml:space="preserve"> </w:t>
      </w:r>
      <w:r w:rsidR="4B774E0D" w:rsidRPr="006B1B4B">
        <w:t>(last visited Feb. 26, 2023).</w:t>
      </w:r>
    </w:p>
  </w:footnote>
  <w:footnote w:id="46">
    <w:p w14:paraId="2117A1BC" w14:textId="02AB08AA" w:rsidR="0004402C" w:rsidRPr="0004402C" w:rsidRDefault="0004402C" w:rsidP="00923377">
      <w:pPr>
        <w:pStyle w:val="FootNotePara"/>
        <w:suppressAutoHyphens/>
      </w:pPr>
      <w:r w:rsidRPr="00CE27BE">
        <w:footnoteRef/>
      </w:r>
      <w:r w:rsidR="00CE27BE">
        <w:t>.</w:t>
      </w:r>
      <w:r w:rsidRPr="0004402C">
        <w:rPr>
          <w:rFonts w:cs="Times New Roman (Body CS)"/>
        </w:rPr>
        <w:tab/>
      </w:r>
      <w:r w:rsidR="4B774E0D" w:rsidRPr="003158AB">
        <w:rPr>
          <w:smallCaps/>
        </w:rPr>
        <w:t>Chacon &amp; Straub</w:t>
      </w:r>
      <w:r w:rsidR="4B774E0D" w:rsidRPr="00907349">
        <w:t xml:space="preserve">, </w:t>
      </w:r>
      <w:r w:rsidR="4B774E0D" w:rsidRPr="00907349">
        <w:rPr>
          <w:i/>
        </w:rPr>
        <w:t>supra</w:t>
      </w:r>
      <w:r w:rsidR="4B774E0D" w:rsidRPr="00907349">
        <w:t xml:space="preserve"> note 2</w:t>
      </w:r>
      <w:r w:rsidR="009E4463">
        <w:t>1</w:t>
      </w:r>
      <w:r w:rsidR="4B774E0D" w:rsidRPr="009E4463">
        <w:t>, at 105–09.</w:t>
      </w:r>
    </w:p>
  </w:footnote>
  <w:footnote w:id="47">
    <w:p w14:paraId="22A4646B" w14:textId="75834B1C" w:rsidR="0004402C" w:rsidRPr="0004402C" w:rsidRDefault="0004402C" w:rsidP="00923377">
      <w:pPr>
        <w:pStyle w:val="FootNotePara"/>
        <w:suppressAutoHyphens/>
      </w:pPr>
      <w:r w:rsidRPr="00CE27BE">
        <w:footnoteRef/>
      </w:r>
      <w:r w:rsidR="00CE27BE">
        <w:t>.</w:t>
      </w:r>
      <w:r w:rsidRPr="00CE27BE">
        <w:tab/>
      </w:r>
      <w:r w:rsidR="4B774E0D" w:rsidRPr="000518F7">
        <w:rPr>
          <w:smallCaps/>
        </w:rPr>
        <w:t>Nadia Eghbal, Working in Public: The Making and Maintenance of Open Source Software</w:t>
      </w:r>
      <w:r w:rsidR="4B774E0D" w:rsidRPr="00D231C5">
        <w:t xml:space="preserve"> 128 (2020).</w:t>
      </w:r>
    </w:p>
  </w:footnote>
  <w:footnote w:id="48">
    <w:p w14:paraId="17AD1C6A" w14:textId="48E5666F" w:rsidR="0004402C" w:rsidRPr="0004402C" w:rsidRDefault="0004402C" w:rsidP="00923377">
      <w:pPr>
        <w:pStyle w:val="FootNotePara"/>
        <w:suppressAutoHyphens/>
      </w:pPr>
      <w:r w:rsidRPr="00CE27BE">
        <w:footnoteRef/>
      </w:r>
      <w:r w:rsidR="00CE27BE">
        <w:t>.</w:t>
      </w:r>
      <w:r w:rsidR="00BE2EDF" w:rsidRPr="00CE27BE">
        <w:t xml:space="preserve"> </w:t>
      </w:r>
      <w:r w:rsidR="4B774E0D" w:rsidRPr="4B774E0D">
        <w:rPr>
          <w:i/>
        </w:rPr>
        <w:t>Hosting – Version Control with Git</w:t>
      </w:r>
      <w:r w:rsidR="4B774E0D" w:rsidRPr="4B774E0D">
        <w:t xml:space="preserve">, </w:t>
      </w:r>
      <w:r w:rsidR="4B774E0D" w:rsidRPr="4B774E0D">
        <w:rPr>
          <w:smallCaps/>
        </w:rPr>
        <w:t>Software Carpentry</w:t>
      </w:r>
      <w:r w:rsidR="00B50D8F" w:rsidRPr="00B50D8F">
        <w:t xml:space="preserve"> (July 16, 2024)</w:t>
      </w:r>
      <w:r w:rsidR="4B774E0D" w:rsidRPr="4B774E0D">
        <w:t xml:space="preserve">, </w:t>
      </w:r>
      <w:r w:rsidRPr="4B774E0D">
        <w:t>https://swca</w:t>
      </w:r>
      <w:r w:rsidR="00BE2EDF">
        <w:t>r</w:t>
      </w:r>
      <w:r w:rsidRPr="4B774E0D">
        <w:t>pentry.github.io/git-novice/13-hosting.html</w:t>
      </w:r>
      <w:r w:rsidR="4B774E0D" w:rsidRPr="4B774E0D">
        <w:t xml:space="preserve"> </w:t>
      </w:r>
      <w:r w:rsidR="00BE2EDF">
        <w:t>[</w:t>
      </w:r>
      <w:r w:rsidR="4B774E0D" w:rsidRPr="4B774E0D">
        <w:t>https://perma.cc/4JQ7-5YHV</w:t>
      </w:r>
      <w:r w:rsidR="00BE2EDF">
        <w:t>]</w:t>
      </w:r>
      <w:r w:rsidR="4B774E0D" w:rsidRPr="4B774E0D">
        <w:t>.</w:t>
      </w:r>
    </w:p>
  </w:footnote>
  <w:footnote w:id="49">
    <w:p w14:paraId="6727C32E" w14:textId="2ED2F28C" w:rsidR="0004402C" w:rsidRPr="0004402C" w:rsidRDefault="0004402C" w:rsidP="00923377">
      <w:pPr>
        <w:pStyle w:val="FootNotePara"/>
        <w:suppressAutoHyphens/>
      </w:pPr>
      <w:r w:rsidRPr="00CE27BE">
        <w:footnoteRef/>
      </w:r>
      <w:r w:rsidRPr="00CE27BE">
        <w:tab/>
      </w:r>
      <w:r w:rsidR="00CE27BE">
        <w:t xml:space="preserve">. </w:t>
      </w:r>
      <w:r w:rsidR="4B774E0D" w:rsidRPr="000518F7">
        <w:rPr>
          <w:smallCaps/>
        </w:rPr>
        <w:t>Eghbal</w:t>
      </w:r>
      <w:r w:rsidR="4B774E0D" w:rsidRPr="00B435D6">
        <w:t xml:space="preserve">, </w:t>
      </w:r>
      <w:r w:rsidR="4B774E0D" w:rsidRPr="00B435D6">
        <w:rPr>
          <w:i/>
        </w:rPr>
        <w:t>supra</w:t>
      </w:r>
      <w:r w:rsidR="4B774E0D" w:rsidRPr="00B435D6">
        <w:t xml:space="preserve"> note 4</w:t>
      </w:r>
      <w:r w:rsidR="00A1620C">
        <w:t>5</w:t>
      </w:r>
      <w:r w:rsidR="4B774E0D" w:rsidRPr="00B435D6">
        <w:t>, at 28.</w:t>
      </w:r>
    </w:p>
  </w:footnote>
  <w:footnote w:id="50">
    <w:p w14:paraId="7B77B025" w14:textId="6DAFAE49" w:rsidR="0004402C" w:rsidRPr="0004402C" w:rsidRDefault="0004402C" w:rsidP="00923377">
      <w:pPr>
        <w:pStyle w:val="FootNotePara"/>
        <w:suppressAutoHyphens/>
      </w:pPr>
      <w:r w:rsidRPr="00CE27BE">
        <w:footnoteRef/>
      </w:r>
      <w:r w:rsidR="00CE27BE">
        <w:t>.</w:t>
      </w:r>
      <w:r w:rsidR="00CD5B05" w:rsidRPr="00CE27BE">
        <w:t xml:space="preserve"> </w:t>
      </w:r>
      <w:r w:rsidR="4B774E0D" w:rsidRPr="00A7356E">
        <w:rPr>
          <w:rFonts w:eastAsia="Times New Roman"/>
          <w:i/>
          <w:iCs/>
        </w:rPr>
        <w:t>About</w:t>
      </w:r>
      <w:r w:rsidR="4B774E0D" w:rsidRPr="00A7356E">
        <w:rPr>
          <w:rFonts w:eastAsia="Times New Roman"/>
        </w:rPr>
        <w:t>,</w:t>
      </w:r>
      <w:r w:rsidR="4B774E0D" w:rsidRPr="00CD5B05">
        <w:t xml:space="preserve"> </w:t>
      </w:r>
      <w:r w:rsidR="4B774E0D" w:rsidRPr="00CD5B05">
        <w:rPr>
          <w:smallCaps/>
        </w:rPr>
        <w:t>GitHub</w:t>
      </w:r>
      <w:r w:rsidR="4B774E0D" w:rsidRPr="00CD5B05">
        <w:t xml:space="preserve">, </w:t>
      </w:r>
      <w:r w:rsidR="4B774E0D" w:rsidRPr="00CD5B05">
        <w:rPr>
          <w:i/>
        </w:rPr>
        <w:t>supra</w:t>
      </w:r>
      <w:r w:rsidR="4B774E0D" w:rsidRPr="00CD5B05">
        <w:t xml:space="preserve"> note 4</w:t>
      </w:r>
      <w:r w:rsidR="00684F2F">
        <w:t>3</w:t>
      </w:r>
      <w:r w:rsidR="4B774E0D" w:rsidRPr="00CD5B05">
        <w:t>.</w:t>
      </w:r>
    </w:p>
  </w:footnote>
  <w:footnote w:id="51">
    <w:p w14:paraId="39AD85FC" w14:textId="07BE2706" w:rsidR="0004402C" w:rsidRPr="0004402C" w:rsidRDefault="0004402C" w:rsidP="00923377">
      <w:pPr>
        <w:pStyle w:val="FootNotePara"/>
        <w:suppressAutoHyphens/>
      </w:pPr>
      <w:r w:rsidRPr="00CE27BE">
        <w:footnoteRef/>
      </w:r>
      <w:r w:rsidR="00CE27BE">
        <w:t>.</w:t>
      </w:r>
      <w:r w:rsidR="009E6B67" w:rsidRPr="00CE27BE">
        <w:t xml:space="preserve"> </w:t>
      </w:r>
      <w:r w:rsidR="4B774E0D" w:rsidRPr="009E6B67">
        <w:rPr>
          <w:i/>
        </w:rPr>
        <w:t>Id.</w:t>
      </w:r>
    </w:p>
  </w:footnote>
  <w:footnote w:id="52">
    <w:p w14:paraId="50F9E8D7" w14:textId="1B4CDEFA" w:rsidR="0004402C" w:rsidRPr="0004402C" w:rsidRDefault="0004402C" w:rsidP="00923377">
      <w:pPr>
        <w:pStyle w:val="FootNotePara"/>
        <w:suppressAutoHyphens/>
      </w:pPr>
      <w:r w:rsidRPr="00CE27BE">
        <w:footnoteRef/>
      </w:r>
      <w:r w:rsidR="00CE27BE">
        <w:t>.</w:t>
      </w:r>
      <w:r w:rsidR="007042C0" w:rsidRPr="00CE27BE">
        <w:t xml:space="preserve"> </w:t>
      </w:r>
      <w:r w:rsidR="4B774E0D" w:rsidRPr="007042C0">
        <w:rPr>
          <w:i/>
        </w:rPr>
        <w:t>Pricing</w:t>
      </w:r>
      <w:r w:rsidR="4B774E0D" w:rsidRPr="007042C0">
        <w:t xml:space="preserve">, </w:t>
      </w:r>
      <w:r w:rsidR="4B774E0D" w:rsidRPr="007042C0">
        <w:rPr>
          <w:smallCaps/>
        </w:rPr>
        <w:t>GitHub</w:t>
      </w:r>
      <w:r w:rsidR="4B774E0D" w:rsidRPr="007042C0">
        <w:t xml:space="preserve">, https://github.com/pricing </w:t>
      </w:r>
      <w:r w:rsidR="00471A94">
        <w:t>[</w:t>
      </w:r>
      <w:r w:rsidR="00501CF5" w:rsidRPr="00501CF5">
        <w:t>https://perma.cc/R2H8-4BSA</w:t>
      </w:r>
      <w:r w:rsidR="00501CF5">
        <w:t xml:space="preserve">] </w:t>
      </w:r>
      <w:r w:rsidR="4B774E0D" w:rsidRPr="007042C0">
        <w:t xml:space="preserve">(last visited May 15, 2023). This freemium business model is seen not only in VCS hosting platforms, but also in open source projects more generally: while source code is free, premium services that larger enterprises may need—such as support, management tools, and advanced features—come at a cost. </w:t>
      </w:r>
      <w:r w:rsidR="4B774E0D" w:rsidRPr="007042C0">
        <w:rPr>
          <w:i/>
        </w:rPr>
        <w:t>See</w:t>
      </w:r>
      <w:r w:rsidR="4B774E0D" w:rsidRPr="007042C0">
        <w:t xml:space="preserve"> </w:t>
      </w:r>
      <w:r w:rsidR="4B774E0D" w:rsidRPr="007042C0">
        <w:rPr>
          <w:smallCaps/>
        </w:rPr>
        <w:t>Haff</w:t>
      </w:r>
      <w:r w:rsidR="4B774E0D" w:rsidRPr="007042C0">
        <w:t xml:space="preserve">, </w:t>
      </w:r>
      <w:r w:rsidR="4B774E0D" w:rsidRPr="007042C0">
        <w:rPr>
          <w:i/>
        </w:rPr>
        <w:t>supra</w:t>
      </w:r>
      <w:r w:rsidR="4B774E0D" w:rsidRPr="007042C0">
        <w:t xml:space="preserve"> note 1</w:t>
      </w:r>
      <w:r w:rsidR="00A63FD6">
        <w:t>8</w:t>
      </w:r>
      <w:r w:rsidR="4B774E0D" w:rsidRPr="001940DD">
        <w:t xml:space="preserve">, at 143–50; </w:t>
      </w:r>
      <w:r w:rsidR="4B774E0D" w:rsidRPr="001940DD">
        <w:rPr>
          <w:i/>
        </w:rPr>
        <w:t>MySQL Enterprise Edition</w:t>
      </w:r>
      <w:r w:rsidR="4B774E0D" w:rsidRPr="001940DD">
        <w:t xml:space="preserve">, </w:t>
      </w:r>
      <w:r w:rsidR="4B774E0D" w:rsidRPr="001940DD">
        <w:rPr>
          <w:smallCaps/>
        </w:rPr>
        <w:t>MySQL</w:t>
      </w:r>
      <w:r w:rsidR="4B774E0D" w:rsidRPr="001940DD">
        <w:t xml:space="preserve">, </w:t>
      </w:r>
      <w:r w:rsidRPr="001940DD">
        <w:t>https://www.mysql.com/products/enterprise/</w:t>
      </w:r>
      <w:r w:rsidR="4B774E0D" w:rsidRPr="4B774E0D">
        <w:t xml:space="preserve"> </w:t>
      </w:r>
      <w:r w:rsidR="00A36E1E">
        <w:t>[</w:t>
      </w:r>
      <w:r w:rsidR="4B774E0D" w:rsidRPr="4B774E0D">
        <w:t>https://perma.cc/ULX8-VE2M</w:t>
      </w:r>
      <w:r w:rsidR="00A36E1E">
        <w:t>]</w:t>
      </w:r>
      <w:r w:rsidR="4B774E0D" w:rsidRPr="001940DD">
        <w:t xml:space="preserve"> (last visited Mar. 20, 2023).</w:t>
      </w:r>
    </w:p>
  </w:footnote>
  <w:footnote w:id="53">
    <w:p w14:paraId="1E666736" w14:textId="1FCD8D45" w:rsidR="0004402C" w:rsidRPr="0004402C" w:rsidRDefault="0004402C" w:rsidP="00923377">
      <w:pPr>
        <w:pStyle w:val="FootNotePara"/>
        <w:suppressAutoHyphens/>
      </w:pPr>
      <w:r w:rsidRPr="00CE27BE">
        <w:footnoteRef/>
      </w:r>
      <w:r w:rsidR="00CE27BE">
        <w:t>.</w:t>
      </w:r>
      <w:r w:rsidR="00D53909">
        <w:t xml:space="preserve"> </w:t>
      </w:r>
      <w:r w:rsidRPr="00CE27BE">
        <w:tab/>
      </w:r>
      <w:r w:rsidR="4B774E0D" w:rsidRPr="00D53909">
        <w:t xml:space="preserve">Ferdian Thung et al., </w:t>
      </w:r>
      <w:r w:rsidR="4B774E0D" w:rsidRPr="00D53909">
        <w:rPr>
          <w:i/>
        </w:rPr>
        <w:t>Network Structure of Social Coding in GitHub</w:t>
      </w:r>
      <w:r w:rsidR="4B774E0D" w:rsidRPr="00D53909">
        <w:t xml:space="preserve">, </w:t>
      </w:r>
      <w:r w:rsidR="4B774E0D" w:rsidRPr="00D53909">
        <w:rPr>
          <w:i/>
        </w:rPr>
        <w:t>in</w:t>
      </w:r>
      <w:r w:rsidR="4B774E0D" w:rsidRPr="00D53909">
        <w:t xml:space="preserve"> </w:t>
      </w:r>
      <w:r w:rsidR="4B774E0D" w:rsidRPr="00D53909">
        <w:rPr>
          <w:smallCaps/>
        </w:rPr>
        <w:t>17th Eur. Conf. on Software Maint. &amp; Reengineering</w:t>
      </w:r>
      <w:r w:rsidR="4B774E0D" w:rsidRPr="00D53909">
        <w:t xml:space="preserve"> 323, 323 (2013).</w:t>
      </w:r>
    </w:p>
  </w:footnote>
  <w:footnote w:id="54">
    <w:p w14:paraId="599233B2" w14:textId="2BB163D6" w:rsidR="0004402C" w:rsidRPr="0004402C" w:rsidRDefault="0004402C" w:rsidP="00923377">
      <w:pPr>
        <w:pStyle w:val="FootNotePara"/>
        <w:suppressAutoHyphens/>
      </w:pPr>
      <w:r w:rsidRPr="00CE27BE">
        <w:footnoteRef/>
      </w:r>
      <w:r w:rsidR="00CE27BE">
        <w:t>.</w:t>
      </w:r>
      <w:r w:rsidR="00D05F2E" w:rsidRPr="00CE27BE">
        <w:t xml:space="preserve"> </w:t>
      </w:r>
      <w:r w:rsidR="4B774E0D" w:rsidRPr="00D05F2E">
        <w:t>Id.</w:t>
      </w:r>
    </w:p>
  </w:footnote>
  <w:footnote w:id="55">
    <w:p w14:paraId="58D60C87" w14:textId="47217AE3" w:rsidR="0004402C" w:rsidRPr="0004402C" w:rsidRDefault="0004402C" w:rsidP="00923377">
      <w:pPr>
        <w:pStyle w:val="FootNotePara"/>
        <w:suppressAutoHyphens/>
      </w:pPr>
      <w:r w:rsidRPr="00CE27BE">
        <w:footnoteRef/>
      </w:r>
      <w:r w:rsidR="00CE27BE">
        <w:t>.</w:t>
      </w:r>
      <w:r w:rsidR="00D05F2E">
        <w:t xml:space="preserve"> </w:t>
      </w:r>
      <w:r w:rsidR="4B774E0D" w:rsidRPr="00D05F2E">
        <w:t xml:space="preserve">Laura Dabbish et al., </w:t>
      </w:r>
      <w:r w:rsidR="4B774E0D" w:rsidRPr="00D05F2E">
        <w:rPr>
          <w:i/>
        </w:rPr>
        <w:t>Social Coding in GitHub: Transparency and Collaboration in an Open Software Repository</w:t>
      </w:r>
      <w:r w:rsidR="4B774E0D" w:rsidRPr="00D05F2E">
        <w:t xml:space="preserve">, </w:t>
      </w:r>
      <w:r w:rsidR="4B774E0D" w:rsidRPr="00D05F2E">
        <w:rPr>
          <w:smallCaps/>
        </w:rPr>
        <w:t>CSCW ‘12: Proc. of the ACM 2012 Conf. on Comput. Supported Coop. Work</w:t>
      </w:r>
      <w:r w:rsidR="4B774E0D" w:rsidRPr="00D05F2E">
        <w:t xml:space="preserve"> 1277, 1278 (2012).</w:t>
      </w:r>
    </w:p>
  </w:footnote>
  <w:footnote w:id="56">
    <w:p w14:paraId="26AB8138" w14:textId="6A742CB4" w:rsidR="0004402C" w:rsidRPr="00FF453E" w:rsidRDefault="0004402C" w:rsidP="00923377">
      <w:pPr>
        <w:pStyle w:val="FootNotePara"/>
        <w:suppressAutoHyphens/>
        <w:rPr>
          <w:lang w:val="da-DK"/>
        </w:rPr>
      </w:pPr>
      <w:r w:rsidRPr="00CE27BE">
        <w:footnoteRef/>
      </w:r>
      <w:r w:rsidR="00CE27BE">
        <w:t>.</w:t>
      </w:r>
      <w:r w:rsidR="00FF453E" w:rsidRPr="00CE27BE">
        <w:t xml:space="preserve"> </w:t>
      </w:r>
      <w:r w:rsidR="4B774E0D" w:rsidRPr="00FF453E">
        <w:rPr>
          <w:i/>
          <w:lang w:val="da-DK"/>
        </w:rPr>
        <w:t>Id.</w:t>
      </w:r>
    </w:p>
  </w:footnote>
  <w:footnote w:id="57">
    <w:p w14:paraId="1C890395" w14:textId="15B6355E" w:rsidR="0004402C" w:rsidRPr="004702E9" w:rsidRDefault="0004402C" w:rsidP="00923377">
      <w:pPr>
        <w:pStyle w:val="FootNotePara"/>
        <w:suppressAutoHyphens/>
        <w:rPr>
          <w:lang w:val="da-DK"/>
        </w:rPr>
      </w:pPr>
      <w:r w:rsidRPr="00CE27BE">
        <w:footnoteRef/>
      </w:r>
      <w:r w:rsidR="00CE27BE">
        <w:rPr>
          <w:iCs/>
          <w:lang w:val="da-DK"/>
        </w:rPr>
        <w:t>.</w:t>
      </w:r>
      <w:r w:rsidR="00FF453E" w:rsidRPr="00FF453E">
        <w:rPr>
          <w:iCs/>
          <w:lang w:val="da-DK"/>
        </w:rPr>
        <w:t xml:space="preserve"> </w:t>
      </w:r>
      <w:r w:rsidR="4B774E0D" w:rsidRPr="004702E9">
        <w:rPr>
          <w:i/>
          <w:lang w:val="da-DK"/>
        </w:rPr>
        <w:t>Id.</w:t>
      </w:r>
      <w:r w:rsidR="4B774E0D" w:rsidRPr="004702E9">
        <w:rPr>
          <w:lang w:val="da-DK"/>
        </w:rPr>
        <w:t xml:space="preserve"> at 1280–81.</w:t>
      </w:r>
    </w:p>
  </w:footnote>
  <w:footnote w:id="58">
    <w:p w14:paraId="4F5B347C" w14:textId="2D0468B2" w:rsidR="0004402C" w:rsidRPr="004702E9" w:rsidRDefault="0004402C" w:rsidP="00923377">
      <w:pPr>
        <w:pStyle w:val="FootNotePara"/>
        <w:suppressAutoHyphens/>
        <w:rPr>
          <w:lang w:val="da-DK"/>
        </w:rPr>
      </w:pPr>
      <w:r w:rsidRPr="00542712">
        <w:footnoteRef/>
      </w:r>
      <w:r w:rsidR="00542712">
        <w:t>.</w:t>
      </w:r>
      <w:r w:rsidR="00FF453E" w:rsidRPr="00542712">
        <w:t xml:space="preserve"> </w:t>
      </w:r>
      <w:r w:rsidR="4B774E0D" w:rsidRPr="004702E9">
        <w:rPr>
          <w:i/>
          <w:lang w:val="da-DK"/>
        </w:rPr>
        <w:t>Id.</w:t>
      </w:r>
      <w:r w:rsidR="4B774E0D" w:rsidRPr="004702E9">
        <w:rPr>
          <w:lang w:val="da-DK"/>
        </w:rPr>
        <w:t xml:space="preserve"> at 1282.</w:t>
      </w:r>
    </w:p>
  </w:footnote>
  <w:footnote w:id="59">
    <w:p w14:paraId="78F94C37" w14:textId="07A05C69" w:rsidR="0004402C" w:rsidRPr="0004402C" w:rsidRDefault="0004402C" w:rsidP="00923377">
      <w:pPr>
        <w:pStyle w:val="FootNotePara"/>
        <w:suppressAutoHyphens/>
        <w:rPr>
          <w:u w:val="single"/>
        </w:rPr>
      </w:pPr>
      <w:r w:rsidRPr="00542712">
        <w:footnoteRef/>
      </w:r>
      <w:r w:rsidR="00542712">
        <w:t>.</w:t>
      </w:r>
      <w:r w:rsidR="00FF453E" w:rsidRPr="00542712">
        <w:t xml:space="preserve"> </w:t>
      </w:r>
      <w:r w:rsidR="4B774E0D" w:rsidRPr="004702E9">
        <w:t xml:space="preserve">Thung et al., </w:t>
      </w:r>
      <w:r w:rsidR="4B774E0D" w:rsidRPr="004702E9">
        <w:rPr>
          <w:i/>
        </w:rPr>
        <w:t>supra</w:t>
      </w:r>
      <w:r w:rsidR="4B774E0D" w:rsidRPr="004702E9">
        <w:t xml:space="preserve"> note 5</w:t>
      </w:r>
      <w:r w:rsidR="00D7119F">
        <w:t>1</w:t>
      </w:r>
      <w:r w:rsidR="4B774E0D" w:rsidRPr="006B1B4B">
        <w:t>, at 325.</w:t>
      </w:r>
    </w:p>
  </w:footnote>
  <w:footnote w:id="60">
    <w:p w14:paraId="0EEDCBA6" w14:textId="4B0D33DE" w:rsidR="0004402C" w:rsidRPr="0004402C" w:rsidRDefault="0004402C" w:rsidP="00923377">
      <w:pPr>
        <w:pStyle w:val="FootNotePara"/>
        <w:suppressAutoHyphens/>
        <w:rPr>
          <w:i/>
          <w:iCs/>
        </w:rPr>
      </w:pPr>
      <w:r w:rsidRPr="00542712">
        <w:footnoteRef/>
      </w:r>
      <w:r w:rsidR="00542712">
        <w:t>.</w:t>
      </w:r>
      <w:r w:rsidRPr="00542712">
        <w:tab/>
      </w:r>
      <w:r w:rsidR="4B774E0D" w:rsidRPr="004702E9">
        <w:rPr>
          <w:i/>
        </w:rPr>
        <w:t>See</w:t>
      </w:r>
      <w:r w:rsidR="4B774E0D" w:rsidRPr="004702E9">
        <w:t xml:space="preserve"> Lily Hay Newman, </w:t>
      </w:r>
      <w:r w:rsidR="4B774E0D" w:rsidRPr="004702E9">
        <w:rPr>
          <w:i/>
        </w:rPr>
        <w:t>GitHub Survived the Biggest DDoS Attack Ever Recorded</w:t>
      </w:r>
      <w:r w:rsidR="4B774E0D" w:rsidRPr="004702E9">
        <w:t xml:space="preserve">, </w:t>
      </w:r>
      <w:r w:rsidR="4B774E0D" w:rsidRPr="004702E9">
        <w:rPr>
          <w:smallCaps/>
        </w:rPr>
        <w:t>Wired</w:t>
      </w:r>
      <w:r w:rsidR="4B774E0D" w:rsidRPr="004702E9">
        <w:t xml:space="preserve"> (Mar. 1, 2018, 11:01 AM), </w:t>
      </w:r>
      <w:r w:rsidRPr="004702E9">
        <w:t>https://www.wired.com/story/github-ddos-memcached</w:t>
      </w:r>
      <w:r w:rsidR="4B774E0D" w:rsidRPr="4B774E0D">
        <w:t xml:space="preserve"> </w:t>
      </w:r>
      <w:r w:rsidR="0039109F">
        <w:t>[</w:t>
      </w:r>
      <w:r w:rsidR="4B774E0D" w:rsidRPr="4B774E0D">
        <w:t>https://perma.cc/X9QS-R3HK</w:t>
      </w:r>
      <w:r w:rsidR="0039109F">
        <w:t>]</w:t>
      </w:r>
      <w:r w:rsidR="4B774E0D" w:rsidRPr="006B1B4B">
        <w:t>.</w:t>
      </w:r>
    </w:p>
  </w:footnote>
  <w:footnote w:id="61">
    <w:p w14:paraId="53AA67E9" w14:textId="72DFDEDE" w:rsidR="0004402C" w:rsidRPr="0004402C" w:rsidRDefault="0004402C" w:rsidP="00923377">
      <w:pPr>
        <w:pStyle w:val="FootNotePara"/>
        <w:suppressAutoHyphens/>
      </w:pPr>
      <w:r w:rsidRPr="00542712">
        <w:footnoteRef/>
      </w:r>
      <w:r w:rsidR="00542712">
        <w:t>.</w:t>
      </w:r>
      <w:r w:rsidR="00A40995" w:rsidRPr="00542712">
        <w:t xml:space="preserve"> </w:t>
      </w:r>
      <w:r w:rsidR="00BF4869">
        <w:t>Tor Beer</w:t>
      </w:r>
      <w:r w:rsidR="00A40995" w:rsidRPr="4B774E0D">
        <w:t xml:space="preserve">, </w:t>
      </w:r>
      <w:r w:rsidR="00BF4869" w:rsidRPr="00BF4869">
        <w:rPr>
          <w:i/>
        </w:rPr>
        <w:t>Breaking News: How a Massive Malware Attack Almost Occurred on GitHub</w:t>
      </w:r>
      <w:r w:rsidR="00A40995" w:rsidRPr="4B774E0D">
        <w:t xml:space="preserve">, </w:t>
      </w:r>
      <w:r w:rsidR="00BF4869">
        <w:rPr>
          <w:smallCaps/>
        </w:rPr>
        <w:t>Legit Security</w:t>
      </w:r>
      <w:r w:rsidR="00A40995" w:rsidRPr="4B774E0D">
        <w:t xml:space="preserve"> (</w:t>
      </w:r>
      <w:r w:rsidR="00BF4869">
        <w:t>Aug</w:t>
      </w:r>
      <w:r w:rsidR="00A40995" w:rsidRPr="4B774E0D">
        <w:t xml:space="preserve">. </w:t>
      </w:r>
      <w:r w:rsidR="00BF4869">
        <w:t>3</w:t>
      </w:r>
      <w:r w:rsidR="00A40995" w:rsidRPr="4B774E0D">
        <w:t xml:space="preserve">, 2022), </w:t>
      </w:r>
      <w:r w:rsidR="00960681" w:rsidRPr="00A11549">
        <w:rPr>
          <w:rFonts w:eastAsia="Century Schoolbook" w:cs="Century Schoolbook"/>
          <w:szCs w:val="16"/>
        </w:rPr>
        <w:t>https://www.legitsecurity.com/blog/how-a-massive-widespread-malware-attack-almost-occurred-on-github</w:t>
      </w:r>
      <w:r w:rsidR="00960681">
        <w:t xml:space="preserve"> [</w:t>
      </w:r>
      <w:r w:rsidR="003963A5" w:rsidRPr="003963A5">
        <w:t>https://perma.cc/AUY3-8L68</w:t>
      </w:r>
      <w:r w:rsidR="00960681">
        <w:t>]</w:t>
      </w:r>
      <w:r w:rsidR="00A40995" w:rsidRPr="4B774E0D">
        <w:t>.</w:t>
      </w:r>
    </w:p>
  </w:footnote>
  <w:footnote w:id="62">
    <w:p w14:paraId="4B612FDC" w14:textId="7EBCA155" w:rsidR="0004402C" w:rsidRPr="0004402C" w:rsidRDefault="0004402C" w:rsidP="00923377">
      <w:pPr>
        <w:pStyle w:val="FootNotePara"/>
        <w:suppressAutoHyphens/>
      </w:pPr>
      <w:r w:rsidRPr="00542712">
        <w:footnoteRef/>
      </w:r>
      <w:r w:rsidR="00542712">
        <w:t>.</w:t>
      </w:r>
      <w:r w:rsidR="008C30BA" w:rsidRPr="00542712">
        <w:t xml:space="preserve"> </w:t>
      </w:r>
      <w:r w:rsidR="4B774E0D" w:rsidRPr="00D13897">
        <w:rPr>
          <w:smallCaps/>
        </w:rPr>
        <w:t>Eghbal</w:t>
      </w:r>
      <w:r w:rsidR="4B774E0D" w:rsidRPr="00D13897">
        <w:t xml:space="preserve">, </w:t>
      </w:r>
      <w:r w:rsidR="4B774E0D" w:rsidRPr="00D13897">
        <w:rPr>
          <w:i/>
        </w:rPr>
        <w:t>supra</w:t>
      </w:r>
      <w:r w:rsidR="4B774E0D" w:rsidRPr="00D13897">
        <w:t xml:space="preserve"> note 4</w:t>
      </w:r>
      <w:r w:rsidR="00C83944">
        <w:t>5</w:t>
      </w:r>
      <w:r w:rsidR="4B774E0D" w:rsidRPr="00D13897">
        <w:t>, at 27.</w:t>
      </w:r>
    </w:p>
  </w:footnote>
  <w:footnote w:id="63">
    <w:p w14:paraId="6A75D912" w14:textId="25864313" w:rsidR="0004402C" w:rsidRPr="0004402C" w:rsidRDefault="0004402C" w:rsidP="00923377">
      <w:pPr>
        <w:pStyle w:val="FootNotePara"/>
        <w:suppressAutoHyphens/>
      </w:pPr>
      <w:r w:rsidRPr="00542712">
        <w:footnoteRef/>
      </w:r>
      <w:r w:rsidR="00542712">
        <w:t>.</w:t>
      </w:r>
      <w:r w:rsidR="00461AF8" w:rsidRPr="00542712">
        <w:t xml:space="preserve"> </w:t>
      </w:r>
      <w:r w:rsidR="4B774E0D" w:rsidRPr="00461AF8">
        <w:rPr>
          <w:i/>
        </w:rPr>
        <w:t>Id.</w:t>
      </w:r>
    </w:p>
  </w:footnote>
  <w:footnote w:id="64">
    <w:p w14:paraId="461572B0" w14:textId="7502BC7F" w:rsidR="0004402C" w:rsidRPr="0004402C" w:rsidRDefault="0004402C" w:rsidP="00923377">
      <w:pPr>
        <w:pStyle w:val="FootNotePara"/>
        <w:suppressAutoHyphens/>
      </w:pPr>
      <w:r w:rsidRPr="003B2233">
        <w:footnoteRef/>
      </w:r>
      <w:r w:rsidR="008B22F4">
        <w:t>.</w:t>
      </w:r>
      <w:r w:rsidR="00AE6DC7" w:rsidRPr="003B2233">
        <w:t xml:space="preserve"> </w:t>
      </w:r>
      <w:r w:rsidR="4B774E0D" w:rsidRPr="00AE6DC7">
        <w:rPr>
          <w:smallCaps/>
        </w:rPr>
        <w:t>Hilary Carter &amp; Jessica Groopman</w:t>
      </w:r>
      <w:r w:rsidR="4B774E0D" w:rsidRPr="00AE6DC7">
        <w:t xml:space="preserve">, </w:t>
      </w:r>
      <w:r w:rsidR="4B774E0D" w:rsidRPr="00AE6DC7">
        <w:rPr>
          <w:smallCaps/>
        </w:rPr>
        <w:t>Diversity, Equity, and Inclusion in Open Source 12</w:t>
      </w:r>
      <w:r w:rsidR="4B774E0D" w:rsidRPr="00AE6DC7">
        <w:t xml:space="preserve"> (2021).</w:t>
      </w:r>
    </w:p>
  </w:footnote>
  <w:footnote w:id="65">
    <w:p w14:paraId="3FDD9A09" w14:textId="716AD900" w:rsidR="0004402C" w:rsidRPr="0004402C" w:rsidRDefault="0004402C" w:rsidP="00923377">
      <w:pPr>
        <w:pStyle w:val="FootNotePara"/>
        <w:suppressAutoHyphens/>
      </w:pPr>
      <w:r w:rsidRPr="008B22F4">
        <w:footnoteRef/>
      </w:r>
      <w:r w:rsidR="008B22F4">
        <w:t>.</w:t>
      </w:r>
      <w:r w:rsidR="00A86BE8" w:rsidRPr="008B22F4">
        <w:t xml:space="preserve"> </w:t>
      </w:r>
      <w:r w:rsidR="4B774E0D" w:rsidRPr="00A86BE8">
        <w:t xml:space="preserve">Bogdan Vasilescu et al., </w:t>
      </w:r>
      <w:r w:rsidR="4B774E0D" w:rsidRPr="00A86BE8">
        <w:rPr>
          <w:i/>
        </w:rPr>
        <w:t>A Data Set for Social Diversity Studies of GitHub Teams</w:t>
      </w:r>
      <w:r w:rsidR="4B774E0D" w:rsidRPr="00A86BE8">
        <w:t xml:space="preserve">, </w:t>
      </w:r>
      <w:r w:rsidR="4B774E0D" w:rsidRPr="00A86BE8">
        <w:rPr>
          <w:i/>
        </w:rPr>
        <w:t>in</w:t>
      </w:r>
      <w:r w:rsidR="4B774E0D" w:rsidRPr="00A86BE8">
        <w:t xml:space="preserve"> </w:t>
      </w:r>
      <w:r w:rsidR="4B774E0D" w:rsidRPr="00A86BE8">
        <w:rPr>
          <w:smallCaps/>
        </w:rPr>
        <w:t>2015 IEEE/ACM 12th Working Conf. on Mining Software Repositories</w:t>
      </w:r>
      <w:r w:rsidR="4B774E0D" w:rsidRPr="00A86BE8">
        <w:t xml:space="preserve"> 514, 516 (2015).</w:t>
      </w:r>
    </w:p>
  </w:footnote>
  <w:footnote w:id="66">
    <w:p w14:paraId="336B2BC7" w14:textId="0CB774A6" w:rsidR="0004402C" w:rsidRPr="0004402C" w:rsidRDefault="0004402C" w:rsidP="00923377">
      <w:pPr>
        <w:pStyle w:val="FootNotePara"/>
        <w:suppressAutoHyphens/>
      </w:pPr>
      <w:r w:rsidRPr="003B2233">
        <w:footnoteRef/>
      </w:r>
      <w:r w:rsidR="008B22F4">
        <w:t>.</w:t>
      </w:r>
      <w:r w:rsidR="00545026" w:rsidRPr="003B2233">
        <w:t xml:space="preserve"> </w:t>
      </w:r>
      <w:r w:rsidR="4B774E0D" w:rsidRPr="00545026">
        <w:rPr>
          <w:smallCaps/>
        </w:rPr>
        <w:t>Carter &amp; Groopman</w:t>
      </w:r>
      <w:r w:rsidR="4B774E0D" w:rsidRPr="00545026">
        <w:t xml:space="preserve">, </w:t>
      </w:r>
      <w:r w:rsidR="4B774E0D" w:rsidRPr="00545026">
        <w:rPr>
          <w:i/>
        </w:rPr>
        <w:t>supra</w:t>
      </w:r>
      <w:r w:rsidR="4B774E0D" w:rsidRPr="00545026">
        <w:t xml:space="preserve"> note 6</w:t>
      </w:r>
      <w:r w:rsidRPr="00545026">
        <w:t>2</w:t>
      </w:r>
      <w:r w:rsidR="4B774E0D" w:rsidRPr="00545026">
        <w:t>, at 12.</w:t>
      </w:r>
    </w:p>
  </w:footnote>
  <w:footnote w:id="67">
    <w:p w14:paraId="317B4956" w14:textId="0925DDB7" w:rsidR="0004402C" w:rsidRPr="0004402C" w:rsidRDefault="0004402C" w:rsidP="00923377">
      <w:pPr>
        <w:pStyle w:val="FootNotePara"/>
        <w:suppressAutoHyphens/>
      </w:pPr>
      <w:r w:rsidRPr="003B2233">
        <w:footnoteRef/>
      </w:r>
      <w:r w:rsidR="008B22F4">
        <w:t>.</w:t>
      </w:r>
      <w:r w:rsidRPr="0004402C">
        <w:tab/>
      </w:r>
      <w:r w:rsidR="4B774E0D" w:rsidRPr="006316F9">
        <w:t xml:space="preserve">Amiangshu Bosu &amp; Kazi Zakia Sultana, </w:t>
      </w:r>
      <w:r w:rsidR="4B774E0D" w:rsidRPr="006316F9">
        <w:rPr>
          <w:i/>
        </w:rPr>
        <w:t>Diversity and Inclusion in Open Source Software (OSS) Projects: Where Do We Stand?</w:t>
      </w:r>
      <w:r w:rsidR="4B774E0D" w:rsidRPr="006316F9">
        <w:t xml:space="preserve">, </w:t>
      </w:r>
      <w:r w:rsidR="4B774E0D" w:rsidRPr="006316F9">
        <w:rPr>
          <w:i/>
        </w:rPr>
        <w:t>in</w:t>
      </w:r>
      <w:r w:rsidR="4B774E0D" w:rsidRPr="006316F9">
        <w:t xml:space="preserve"> </w:t>
      </w:r>
      <w:r w:rsidR="4B774E0D" w:rsidRPr="006316F9">
        <w:rPr>
          <w:smallCaps/>
        </w:rPr>
        <w:t xml:space="preserve">2019 ACM/IEEE Int’l Symp. on Empirical Software Eng’g &amp; Measurement </w:t>
      </w:r>
      <w:r w:rsidR="4B774E0D" w:rsidRPr="006316F9">
        <w:t>295, 297 (2019).</w:t>
      </w:r>
    </w:p>
  </w:footnote>
  <w:footnote w:id="68">
    <w:p w14:paraId="61B92C20" w14:textId="68A157C9" w:rsidR="0004402C" w:rsidRPr="0004402C" w:rsidRDefault="0004402C" w:rsidP="00923377">
      <w:pPr>
        <w:pStyle w:val="FootNotePara"/>
        <w:suppressAutoHyphens/>
      </w:pPr>
      <w:r w:rsidRPr="003B2233">
        <w:footnoteRef/>
      </w:r>
      <w:r w:rsidR="008B22F4">
        <w:t>.</w:t>
      </w:r>
      <w:r w:rsidR="007C3242" w:rsidRPr="003B2233">
        <w:t xml:space="preserve"> </w:t>
      </w:r>
      <w:r w:rsidR="4B774E0D" w:rsidRPr="00934E5B">
        <w:rPr>
          <w:i/>
        </w:rPr>
        <w:t>Id.</w:t>
      </w:r>
      <w:r w:rsidR="4B774E0D" w:rsidRPr="00934E5B">
        <w:t xml:space="preserve"> at 295.</w:t>
      </w:r>
    </w:p>
  </w:footnote>
  <w:footnote w:id="69">
    <w:p w14:paraId="17DEB732" w14:textId="1E4F70A6" w:rsidR="0004402C" w:rsidRPr="0004402C" w:rsidRDefault="0004402C" w:rsidP="00923377">
      <w:pPr>
        <w:pStyle w:val="FootNotePara"/>
        <w:suppressAutoHyphens/>
      </w:pPr>
      <w:r w:rsidRPr="003B2233">
        <w:footnoteRef/>
      </w:r>
      <w:r w:rsidR="008B22F4">
        <w:t>.</w:t>
      </w:r>
      <w:r w:rsidRPr="003B2233">
        <w:tab/>
      </w:r>
      <w:r w:rsidR="4B774E0D" w:rsidRPr="00934E5B">
        <w:rPr>
          <w:smallCaps/>
        </w:rPr>
        <w:t>Carter &amp; Groopman</w:t>
      </w:r>
      <w:r w:rsidR="4B774E0D" w:rsidRPr="00934E5B">
        <w:t xml:space="preserve">, </w:t>
      </w:r>
      <w:r w:rsidR="4B774E0D" w:rsidRPr="00934E5B">
        <w:rPr>
          <w:i/>
        </w:rPr>
        <w:t>supra</w:t>
      </w:r>
      <w:r w:rsidR="4B774E0D" w:rsidRPr="00934E5B">
        <w:t xml:space="preserve"> note 6</w:t>
      </w:r>
      <w:r w:rsidR="00934E5B">
        <w:t>2</w:t>
      </w:r>
      <w:r w:rsidR="4B774E0D" w:rsidRPr="00934E5B">
        <w:t>, at 12.</w:t>
      </w:r>
    </w:p>
  </w:footnote>
  <w:footnote w:id="70">
    <w:p w14:paraId="5626BE66" w14:textId="052C7506" w:rsidR="0004402C" w:rsidRPr="00934E5B" w:rsidRDefault="0004402C" w:rsidP="00923377">
      <w:pPr>
        <w:pStyle w:val="FootNotePara"/>
        <w:suppressAutoHyphens/>
        <w:rPr>
          <w:lang w:val="da-DK"/>
        </w:rPr>
      </w:pPr>
      <w:r w:rsidRPr="003B2233">
        <w:footnoteRef/>
      </w:r>
      <w:r w:rsidR="008B22F4">
        <w:rPr>
          <w:iCs/>
          <w:lang w:val="da-DK"/>
        </w:rPr>
        <w:t>.</w:t>
      </w:r>
      <w:r w:rsidR="00934E5B" w:rsidRPr="00934E5B">
        <w:rPr>
          <w:lang w:val="da-DK"/>
        </w:rPr>
        <w:t xml:space="preserve"> </w:t>
      </w:r>
      <w:r w:rsidR="4B774E0D" w:rsidRPr="00934E5B">
        <w:rPr>
          <w:i/>
          <w:lang w:val="da-DK"/>
        </w:rPr>
        <w:t>Id.</w:t>
      </w:r>
    </w:p>
  </w:footnote>
  <w:footnote w:id="71">
    <w:p w14:paraId="2763229A" w14:textId="32085833" w:rsidR="0004402C" w:rsidRPr="0095164C" w:rsidRDefault="0004402C" w:rsidP="00923377">
      <w:pPr>
        <w:pStyle w:val="FootNotePara"/>
        <w:suppressAutoHyphens/>
        <w:rPr>
          <w:lang w:val="da-DK"/>
        </w:rPr>
      </w:pPr>
      <w:r w:rsidRPr="003B2233">
        <w:footnoteRef/>
      </w:r>
      <w:r w:rsidR="008B22F4">
        <w:t>.</w:t>
      </w:r>
      <w:r w:rsidRPr="0095164C">
        <w:rPr>
          <w:i/>
          <w:iCs/>
          <w:lang w:val="da-DK"/>
        </w:rPr>
        <w:tab/>
      </w:r>
      <w:r w:rsidR="4B774E0D" w:rsidRPr="0095164C">
        <w:rPr>
          <w:i/>
          <w:lang w:val="da-DK"/>
        </w:rPr>
        <w:t>Id.</w:t>
      </w:r>
      <w:r w:rsidR="4B774E0D" w:rsidRPr="0095164C">
        <w:rPr>
          <w:lang w:val="da-DK"/>
        </w:rPr>
        <w:t xml:space="preserve"> at 17–18.</w:t>
      </w:r>
    </w:p>
  </w:footnote>
  <w:footnote w:id="72">
    <w:p w14:paraId="213335BB" w14:textId="0CA05282" w:rsidR="0004402C" w:rsidRPr="0095164C" w:rsidRDefault="0004402C" w:rsidP="00923377">
      <w:pPr>
        <w:pStyle w:val="FootNotePara"/>
        <w:suppressAutoHyphens/>
        <w:rPr>
          <w:lang w:val="da-DK"/>
        </w:rPr>
      </w:pPr>
      <w:r w:rsidRPr="003B2233">
        <w:footnoteRef/>
      </w:r>
      <w:r w:rsidR="008B22F4">
        <w:t>.</w:t>
      </w:r>
      <w:r w:rsidR="0095164C">
        <w:t xml:space="preserve"> </w:t>
      </w:r>
      <w:r w:rsidRPr="003B2233">
        <w:tab/>
      </w:r>
      <w:r w:rsidR="4B774E0D" w:rsidRPr="0095164C">
        <w:rPr>
          <w:i/>
          <w:lang w:val="da-DK"/>
        </w:rPr>
        <w:t>Id.</w:t>
      </w:r>
      <w:r w:rsidR="4B774E0D" w:rsidRPr="0095164C">
        <w:rPr>
          <w:lang w:val="da-DK"/>
        </w:rPr>
        <w:t xml:space="preserve"> at 18.</w:t>
      </w:r>
    </w:p>
  </w:footnote>
  <w:footnote w:id="73">
    <w:p w14:paraId="44A0FADC" w14:textId="595C2387" w:rsidR="0004402C" w:rsidRPr="0004402C" w:rsidRDefault="0004402C" w:rsidP="00923377">
      <w:pPr>
        <w:pStyle w:val="FootNotePara"/>
        <w:suppressAutoHyphens/>
      </w:pPr>
      <w:r w:rsidRPr="003B2233">
        <w:footnoteRef/>
      </w:r>
      <w:r w:rsidR="008B22F4">
        <w:rPr>
          <w:iCs/>
        </w:rPr>
        <w:t>.</w:t>
      </w:r>
      <w:r w:rsidR="0095164C" w:rsidRPr="0095164C">
        <w:t xml:space="preserve"> </w:t>
      </w:r>
      <w:r w:rsidR="4B774E0D" w:rsidRPr="0095164C">
        <w:rPr>
          <w:i/>
        </w:rPr>
        <w:t>Id.</w:t>
      </w:r>
    </w:p>
  </w:footnote>
  <w:footnote w:id="74">
    <w:p w14:paraId="6EC49F0A" w14:textId="24332697" w:rsidR="0004402C" w:rsidRPr="0004402C" w:rsidRDefault="0004402C" w:rsidP="00923377">
      <w:pPr>
        <w:pStyle w:val="FootNotePara"/>
        <w:suppressAutoHyphens/>
      </w:pPr>
      <w:r w:rsidRPr="003B2233">
        <w:footnoteRef/>
      </w:r>
      <w:r w:rsidR="008B22F4">
        <w:t>.</w:t>
      </w:r>
      <w:r w:rsidR="006B4AA7" w:rsidRPr="003B2233">
        <w:t xml:space="preserve"> </w:t>
      </w:r>
      <w:r w:rsidR="4B774E0D" w:rsidRPr="006B4AA7">
        <w:rPr>
          <w:i/>
        </w:rPr>
        <w:t>Id.</w:t>
      </w:r>
      <w:r w:rsidR="4B774E0D" w:rsidRPr="006B4AA7">
        <w:t xml:space="preserve"> at 15.</w:t>
      </w:r>
    </w:p>
  </w:footnote>
  <w:footnote w:id="75">
    <w:p w14:paraId="081629AA" w14:textId="1E6B4A80" w:rsidR="0004402C" w:rsidRPr="0004402C" w:rsidRDefault="0004402C" w:rsidP="00923377">
      <w:pPr>
        <w:pStyle w:val="FootNotePara"/>
        <w:suppressAutoHyphens/>
      </w:pPr>
      <w:r w:rsidRPr="003B2233">
        <w:footnoteRef/>
      </w:r>
      <w:r w:rsidR="008B22F4">
        <w:t>.</w:t>
      </w:r>
      <w:r w:rsidR="006B4AA7" w:rsidRPr="003B2233">
        <w:t xml:space="preserve"> </w:t>
      </w:r>
      <w:r w:rsidR="4B774E0D" w:rsidRPr="00414A84">
        <w:rPr>
          <w:i/>
        </w:rPr>
        <w:t>See</w:t>
      </w:r>
      <w:r w:rsidR="4B774E0D" w:rsidRPr="00414A84">
        <w:t xml:space="preserve"> Demetris Cheatham, </w:t>
      </w:r>
      <w:r w:rsidR="4B774E0D" w:rsidRPr="00414A84">
        <w:rPr>
          <w:i/>
        </w:rPr>
        <w:t>GitHub All In: Our first student cohort and what’s next</w:t>
      </w:r>
      <w:r w:rsidR="4B774E0D" w:rsidRPr="00414A84">
        <w:t xml:space="preserve">, </w:t>
      </w:r>
      <w:r w:rsidR="4B774E0D" w:rsidRPr="00414A84">
        <w:rPr>
          <w:smallCaps/>
        </w:rPr>
        <w:t>GitHub</w:t>
      </w:r>
      <w:r w:rsidR="4B774E0D" w:rsidRPr="00414A84">
        <w:t xml:space="preserve"> </w:t>
      </w:r>
      <w:r w:rsidR="4B774E0D" w:rsidRPr="00414A84">
        <w:rPr>
          <w:smallCaps/>
        </w:rPr>
        <w:t>Blog</w:t>
      </w:r>
      <w:r w:rsidR="4B774E0D" w:rsidRPr="00414A84">
        <w:t xml:space="preserve"> (June 3, 2022), </w:t>
      </w:r>
      <w:r w:rsidRPr="00414A84">
        <w:t>https://github.blog/2022-06-02-github-all-in-our-first-student-cohort-and-whats-next</w:t>
      </w:r>
      <w:r w:rsidR="4B774E0D" w:rsidRPr="4B774E0D">
        <w:t xml:space="preserve"> </w:t>
      </w:r>
      <w:r w:rsidR="00414A84">
        <w:t>[</w:t>
      </w:r>
      <w:r w:rsidR="4B774E0D" w:rsidRPr="4B774E0D">
        <w:t>https://perma.cc/J8VW-D6GV</w:t>
      </w:r>
      <w:r w:rsidR="00414A84">
        <w:t>]</w:t>
      </w:r>
      <w:r w:rsidR="4B774E0D" w:rsidRPr="00414A84">
        <w:t>.</w:t>
      </w:r>
    </w:p>
  </w:footnote>
  <w:footnote w:id="76">
    <w:p w14:paraId="16A60DAD" w14:textId="16645036" w:rsidR="008603EA" w:rsidRPr="008603EA" w:rsidRDefault="008603EA" w:rsidP="00923377">
      <w:pPr>
        <w:pStyle w:val="FootNotePara"/>
        <w:suppressAutoHyphens/>
      </w:pPr>
      <w:r w:rsidRPr="003B2233">
        <w:footnoteRef/>
      </w:r>
      <w:r w:rsidR="008B22F4">
        <w:t>.</w:t>
      </w:r>
      <w:r w:rsidRPr="003B2233">
        <w:t xml:space="preserve"> </w:t>
      </w:r>
      <w:r>
        <w:t>Maintainers are the primary developer</w:t>
      </w:r>
      <w:r w:rsidR="00C636F0">
        <w:t>s</w:t>
      </w:r>
      <w:r>
        <w:t xml:space="preserve"> of a </w:t>
      </w:r>
      <w:r w:rsidRPr="008603EA">
        <w:t xml:space="preserve">project. </w:t>
      </w:r>
      <w:r w:rsidRPr="008603EA">
        <w:rPr>
          <w:rFonts w:eastAsia="Century Schoolbook" w:cs="Century Schoolbook"/>
          <w:smallCaps/>
        </w:rPr>
        <w:t>Eghbal</w:t>
      </w:r>
      <w:r w:rsidRPr="008603EA">
        <w:rPr>
          <w:rFonts w:eastAsia="Century Schoolbook" w:cs="Century Schoolbook"/>
        </w:rPr>
        <w:t xml:space="preserve">, </w:t>
      </w:r>
      <w:r w:rsidRPr="008603EA">
        <w:rPr>
          <w:rFonts w:eastAsia="Century Schoolbook" w:cs="Century Schoolbook"/>
          <w:i/>
        </w:rPr>
        <w:t>supra</w:t>
      </w:r>
      <w:r w:rsidRPr="008603EA">
        <w:rPr>
          <w:rFonts w:eastAsia="Century Schoolbook" w:cs="Century Schoolbook"/>
        </w:rPr>
        <w:t xml:space="preserve"> note 45, at </w:t>
      </w:r>
      <w:r>
        <w:rPr>
          <w:rFonts w:eastAsia="Century Schoolbook" w:cs="Century Schoolbook"/>
        </w:rPr>
        <w:t>9</w:t>
      </w:r>
      <w:r w:rsidRPr="008603EA">
        <w:rPr>
          <w:rFonts w:eastAsia="Century Schoolbook" w:cs="Century Schoolbook"/>
        </w:rPr>
        <w:t>.</w:t>
      </w:r>
    </w:p>
  </w:footnote>
  <w:footnote w:id="77">
    <w:p w14:paraId="554908F1" w14:textId="1515D357" w:rsidR="0004402C" w:rsidRPr="0004402C" w:rsidRDefault="0004402C" w:rsidP="00923377">
      <w:pPr>
        <w:pStyle w:val="FootNotePara"/>
        <w:suppressAutoHyphens/>
      </w:pPr>
      <w:r w:rsidRPr="003B2233">
        <w:footnoteRef/>
      </w:r>
      <w:r w:rsidR="008B22F4">
        <w:t>.</w:t>
      </w:r>
      <w:r w:rsidR="00851993" w:rsidRPr="003B2233">
        <w:t xml:space="preserve"> </w:t>
      </w:r>
      <w:r w:rsidRPr="00851993">
        <w:rPr>
          <w:rFonts w:cs="Times New Roman (Body CS)"/>
          <w:smallCaps/>
        </w:rPr>
        <w:t>All In</w:t>
      </w:r>
      <w:r w:rsidRPr="00851993">
        <w:t>, https://allinopensource.org</w:t>
      </w:r>
      <w:r w:rsidRPr="00851993">
        <w:rPr>
          <w:rFonts w:cs="Times New Roman (Body CS)"/>
        </w:rPr>
        <w:t xml:space="preserve"> </w:t>
      </w:r>
      <w:r w:rsidR="00781498">
        <w:rPr>
          <w:rFonts w:cs="Times New Roman (Body CS)"/>
        </w:rPr>
        <w:t>[</w:t>
      </w:r>
      <w:r w:rsidR="4B774E0D" w:rsidRPr="4B774E0D">
        <w:t>https://perma.cc/HF4Y-LSCL</w:t>
      </w:r>
      <w:r w:rsidR="00781498">
        <w:t>]</w:t>
      </w:r>
      <w:r w:rsidR="4B774E0D" w:rsidRPr="4B774E0D">
        <w:t xml:space="preserve"> </w:t>
      </w:r>
      <w:r w:rsidR="4B774E0D" w:rsidRPr="00781498">
        <w:t xml:space="preserve">(last visited May 14, </w:t>
      </w:r>
      <w:r w:rsidR="4B774E0D" w:rsidRPr="006B1B4B">
        <w:t>2023).</w:t>
      </w:r>
    </w:p>
  </w:footnote>
  <w:footnote w:id="78">
    <w:p w14:paraId="6DE8E981" w14:textId="696AF348" w:rsidR="0004402C" w:rsidRPr="0004402C" w:rsidRDefault="0004402C" w:rsidP="00923377">
      <w:pPr>
        <w:pStyle w:val="FootNotePara"/>
        <w:suppressAutoHyphens/>
      </w:pPr>
      <w:r w:rsidRPr="003B2233">
        <w:footnoteRef/>
      </w:r>
      <w:r w:rsidR="008B22F4">
        <w:t>.</w:t>
      </w:r>
      <w:r w:rsidR="00555167" w:rsidRPr="003B2233">
        <w:t xml:space="preserve"> </w:t>
      </w:r>
      <w:r w:rsidR="4B774E0D" w:rsidRPr="00555167">
        <w:t>Jochen Gl</w:t>
      </w:r>
      <w:r w:rsidR="00555167" w:rsidRPr="00CB7B1E">
        <w:rPr>
          <w:rFonts w:cs="Times New Roman (Body CS)"/>
        </w:rPr>
        <w:t>ä</w:t>
      </w:r>
      <w:r w:rsidR="4B774E0D" w:rsidRPr="00555167">
        <w:t xml:space="preserve">ser, </w:t>
      </w:r>
      <w:r w:rsidR="4B774E0D" w:rsidRPr="00555167">
        <w:rPr>
          <w:i/>
        </w:rPr>
        <w:t>The Social Order of Open Source Software Production</w:t>
      </w:r>
      <w:r w:rsidR="4B774E0D" w:rsidRPr="00555167">
        <w:t xml:space="preserve">, </w:t>
      </w:r>
      <w:r w:rsidR="4B774E0D" w:rsidRPr="00555167">
        <w:rPr>
          <w:i/>
        </w:rPr>
        <w:t>in</w:t>
      </w:r>
      <w:r w:rsidR="4B774E0D" w:rsidRPr="00555167">
        <w:t xml:space="preserve"> </w:t>
      </w:r>
      <w:r w:rsidR="4B774E0D" w:rsidRPr="00555167">
        <w:rPr>
          <w:smallCaps/>
        </w:rPr>
        <w:t>Handbook of Rsch. on Open Source Software: Tech., Econ., and Soc. Persps.</w:t>
      </w:r>
      <w:r w:rsidR="4B774E0D" w:rsidRPr="00555167">
        <w:t xml:space="preserve"> 168, 170–71 (Kirk St.</w:t>
      </w:r>
      <w:r w:rsidR="00E11EAC">
        <w:t xml:space="preserve"> </w:t>
      </w:r>
      <w:r w:rsidR="4B774E0D" w:rsidRPr="00555167">
        <w:t>Amant &amp; Brian Still eds., 2007).</w:t>
      </w:r>
    </w:p>
  </w:footnote>
  <w:footnote w:id="79">
    <w:p w14:paraId="1B52DF8B" w14:textId="136E05C1" w:rsidR="0004402C" w:rsidRPr="0004402C" w:rsidRDefault="0004402C" w:rsidP="00923377">
      <w:pPr>
        <w:pStyle w:val="FootNotePara"/>
        <w:suppressAutoHyphens/>
      </w:pPr>
      <w:r w:rsidRPr="003B2233">
        <w:footnoteRef/>
      </w:r>
      <w:r w:rsidR="008B22F4">
        <w:t>.</w:t>
      </w:r>
      <w:r w:rsidR="002912B3" w:rsidRPr="003B2233">
        <w:t xml:space="preserve"> </w:t>
      </w:r>
      <w:r w:rsidR="4B774E0D" w:rsidRPr="002912B3">
        <w:rPr>
          <w:i/>
        </w:rPr>
        <w:t>Id.</w:t>
      </w:r>
      <w:r w:rsidR="4B774E0D" w:rsidRPr="002912B3">
        <w:t xml:space="preserve"> at 171.</w:t>
      </w:r>
    </w:p>
  </w:footnote>
  <w:footnote w:id="80">
    <w:p w14:paraId="55569DB4" w14:textId="64E72B1E" w:rsidR="0004402C" w:rsidRPr="0004402C" w:rsidRDefault="0004402C" w:rsidP="00923377">
      <w:pPr>
        <w:pStyle w:val="FootNotePara"/>
        <w:suppressAutoHyphens/>
      </w:pPr>
      <w:r w:rsidRPr="003B2233">
        <w:footnoteRef/>
      </w:r>
      <w:r w:rsidR="008B22F4">
        <w:t>.</w:t>
      </w:r>
      <w:r w:rsidR="002912B3" w:rsidRPr="003B2233">
        <w:t xml:space="preserve"> </w:t>
      </w:r>
      <w:r w:rsidR="4B774E0D" w:rsidRPr="002912B3">
        <w:rPr>
          <w:i/>
        </w:rPr>
        <w:t>Id.</w:t>
      </w:r>
    </w:p>
  </w:footnote>
  <w:footnote w:id="81">
    <w:p w14:paraId="76ECE3CB" w14:textId="42FFA845" w:rsidR="0004402C" w:rsidRPr="0004402C" w:rsidRDefault="0004402C" w:rsidP="00923377">
      <w:pPr>
        <w:pStyle w:val="FootNotePara"/>
        <w:suppressAutoHyphens/>
      </w:pPr>
      <w:r w:rsidRPr="003B2233">
        <w:footnoteRef/>
      </w:r>
      <w:r w:rsidR="008B22F4">
        <w:t>.</w:t>
      </w:r>
      <w:r w:rsidR="002912B3" w:rsidRPr="003B2233">
        <w:t xml:space="preserve"> </w:t>
      </w:r>
      <w:r w:rsidR="4B774E0D" w:rsidRPr="002912B3">
        <w:rPr>
          <w:i/>
        </w:rPr>
        <w:t>Id.</w:t>
      </w:r>
    </w:p>
  </w:footnote>
  <w:footnote w:id="82">
    <w:p w14:paraId="78EBE80A" w14:textId="22F8EF43" w:rsidR="0004402C" w:rsidRPr="0004402C" w:rsidRDefault="0004402C" w:rsidP="00923377">
      <w:pPr>
        <w:pStyle w:val="FootNotePara"/>
        <w:suppressAutoHyphens/>
      </w:pPr>
      <w:r w:rsidRPr="003B2233">
        <w:footnoteRef/>
      </w:r>
      <w:r w:rsidR="008B22F4">
        <w:t>.</w:t>
      </w:r>
      <w:r w:rsidR="002912B3" w:rsidRPr="003B2233">
        <w:t xml:space="preserve"> </w:t>
      </w:r>
      <w:r w:rsidRPr="0004402C">
        <w:rPr>
          <w:i/>
          <w:iCs/>
        </w:rPr>
        <w:tab/>
      </w:r>
      <w:r w:rsidR="4B774E0D" w:rsidRPr="002912B3">
        <w:rPr>
          <w:i/>
        </w:rPr>
        <w:t>Id.</w:t>
      </w:r>
      <w:r w:rsidR="4B774E0D" w:rsidRPr="002912B3">
        <w:t xml:space="preserve"> at 172.</w:t>
      </w:r>
    </w:p>
  </w:footnote>
  <w:footnote w:id="83">
    <w:p w14:paraId="0D31CD3C" w14:textId="5E9C0858" w:rsidR="0004402C" w:rsidRPr="0004402C" w:rsidRDefault="0004402C" w:rsidP="00923377">
      <w:pPr>
        <w:pStyle w:val="FootNotePara"/>
        <w:suppressAutoHyphens/>
      </w:pPr>
      <w:r w:rsidRPr="003B2233">
        <w:footnoteRef/>
      </w:r>
      <w:r w:rsidR="008B22F4">
        <w:rPr>
          <w:iCs/>
        </w:rPr>
        <w:t>.</w:t>
      </w:r>
      <w:r w:rsidR="002912B3">
        <w:t xml:space="preserve"> </w:t>
      </w:r>
      <w:r w:rsidR="4B774E0D" w:rsidRPr="002912B3">
        <w:rPr>
          <w:i/>
        </w:rPr>
        <w:t>Id.</w:t>
      </w:r>
      <w:r w:rsidR="4B774E0D" w:rsidRPr="002912B3">
        <w:t xml:space="preserve"> at 173.</w:t>
      </w:r>
    </w:p>
  </w:footnote>
  <w:footnote w:id="84">
    <w:p w14:paraId="4A9B252D" w14:textId="42D77478" w:rsidR="0004402C" w:rsidRPr="0004402C" w:rsidRDefault="0004402C" w:rsidP="00923377">
      <w:pPr>
        <w:pStyle w:val="FootNotePara"/>
        <w:suppressAutoHyphens/>
      </w:pPr>
      <w:r w:rsidRPr="003B2233">
        <w:footnoteRef/>
      </w:r>
      <w:r w:rsidR="008B22F4">
        <w:t>.</w:t>
      </w:r>
      <w:r w:rsidR="00714B57" w:rsidRPr="003B2233">
        <w:t xml:space="preserve"> </w:t>
      </w:r>
      <w:r w:rsidR="4B774E0D" w:rsidRPr="00714B57">
        <w:rPr>
          <w:i/>
        </w:rPr>
        <w:t>Id.</w:t>
      </w:r>
    </w:p>
  </w:footnote>
  <w:footnote w:id="85">
    <w:p w14:paraId="3CEE19E5" w14:textId="6559D89A" w:rsidR="0004402C" w:rsidRPr="0004402C" w:rsidRDefault="0004402C" w:rsidP="00923377">
      <w:pPr>
        <w:pStyle w:val="FootNotePara"/>
        <w:suppressAutoHyphens/>
      </w:pPr>
      <w:r w:rsidRPr="003B2233">
        <w:footnoteRef/>
      </w:r>
      <w:r w:rsidR="008B22F4">
        <w:t>.</w:t>
      </w:r>
      <w:r w:rsidR="00714B57" w:rsidRPr="003B2233">
        <w:t xml:space="preserve"> </w:t>
      </w:r>
      <w:r w:rsidR="4B774E0D" w:rsidRPr="00714B57">
        <w:rPr>
          <w:i/>
        </w:rPr>
        <w:t>Id.</w:t>
      </w:r>
    </w:p>
  </w:footnote>
  <w:footnote w:id="86">
    <w:p w14:paraId="15644B46" w14:textId="77CF4368" w:rsidR="0004402C" w:rsidRPr="0004402C" w:rsidRDefault="0004402C" w:rsidP="00923377">
      <w:pPr>
        <w:pStyle w:val="FootNotePara"/>
        <w:suppressAutoHyphens/>
      </w:pPr>
      <w:r w:rsidRPr="003B2233">
        <w:footnoteRef/>
      </w:r>
      <w:r w:rsidR="008B22F4">
        <w:t>.</w:t>
      </w:r>
      <w:r w:rsidR="00714B57" w:rsidRPr="003B2233">
        <w:t xml:space="preserve"> </w:t>
      </w:r>
      <w:r w:rsidR="4B774E0D" w:rsidRPr="00714B57">
        <w:rPr>
          <w:i/>
        </w:rPr>
        <w:t>Id.</w:t>
      </w:r>
    </w:p>
  </w:footnote>
  <w:footnote w:id="87">
    <w:p w14:paraId="43A8712E" w14:textId="56CFAA90" w:rsidR="0004402C" w:rsidRPr="0004402C" w:rsidRDefault="0004402C" w:rsidP="00923377">
      <w:pPr>
        <w:pStyle w:val="FootNotePara"/>
        <w:suppressAutoHyphens/>
      </w:pPr>
      <w:r w:rsidRPr="003B2233">
        <w:footnoteRef/>
      </w:r>
      <w:r w:rsidR="008B22F4">
        <w:t>.</w:t>
      </w:r>
      <w:r w:rsidR="00714B57" w:rsidRPr="003B2233">
        <w:t xml:space="preserve"> </w:t>
      </w:r>
      <w:r w:rsidR="4B774E0D" w:rsidRPr="00714B57">
        <w:rPr>
          <w:i/>
        </w:rPr>
        <w:t>Id.</w:t>
      </w:r>
    </w:p>
  </w:footnote>
  <w:footnote w:id="88">
    <w:p w14:paraId="300AC6C1" w14:textId="1330EBB8" w:rsidR="0004402C" w:rsidRPr="0004402C" w:rsidRDefault="0004402C" w:rsidP="00923377">
      <w:pPr>
        <w:pStyle w:val="FootNotePara"/>
        <w:suppressAutoHyphens/>
      </w:pPr>
      <w:r w:rsidRPr="003B2233">
        <w:footnoteRef/>
      </w:r>
      <w:r w:rsidR="008B22F4">
        <w:t>.</w:t>
      </w:r>
      <w:r w:rsidR="00714B57" w:rsidRPr="003B2233">
        <w:t xml:space="preserve"> </w:t>
      </w:r>
      <w:r w:rsidR="4B774E0D" w:rsidRPr="00714B57">
        <w:rPr>
          <w:i/>
        </w:rPr>
        <w:t>Id.</w:t>
      </w:r>
    </w:p>
  </w:footnote>
  <w:footnote w:id="89">
    <w:p w14:paraId="2877BA2C" w14:textId="0A26F27A" w:rsidR="0004402C" w:rsidRPr="0004402C" w:rsidRDefault="0004402C" w:rsidP="00923377">
      <w:pPr>
        <w:pStyle w:val="FootNotePara"/>
        <w:suppressAutoHyphens/>
      </w:pPr>
      <w:r w:rsidRPr="003B2233">
        <w:footnoteRef/>
      </w:r>
      <w:r w:rsidR="008B22F4">
        <w:t>.</w:t>
      </w:r>
      <w:r w:rsidRPr="0004402C">
        <w:rPr>
          <w:rFonts w:cs="Times New Roman (Body CS)"/>
          <w:smallCaps/>
        </w:rPr>
        <w:tab/>
      </w:r>
      <w:r w:rsidR="4B774E0D" w:rsidRPr="00714B57">
        <w:rPr>
          <w:smallCaps/>
        </w:rPr>
        <w:t>Sarah Guthals</w:t>
      </w:r>
      <w:r w:rsidR="4B774E0D" w:rsidRPr="00714B57">
        <w:t xml:space="preserve">, </w:t>
      </w:r>
      <w:r w:rsidR="4B774E0D" w:rsidRPr="00714B57">
        <w:rPr>
          <w:smallCaps/>
        </w:rPr>
        <w:t>GitHub for Dummies</w:t>
      </w:r>
      <w:r w:rsidR="4B774E0D" w:rsidRPr="00714B57">
        <w:t xml:space="preserve"> 186 (2d ed. 2023).</w:t>
      </w:r>
    </w:p>
  </w:footnote>
  <w:footnote w:id="90">
    <w:p w14:paraId="142DFE95" w14:textId="3C245F64" w:rsidR="0004402C" w:rsidRPr="0004402C" w:rsidRDefault="0004402C" w:rsidP="00923377">
      <w:pPr>
        <w:pStyle w:val="FootNotePara"/>
        <w:suppressAutoHyphens/>
      </w:pPr>
      <w:r w:rsidRPr="003B2233">
        <w:footnoteRef/>
      </w:r>
      <w:r w:rsidR="008B22F4">
        <w:rPr>
          <w:i/>
        </w:rPr>
        <w:t>.</w:t>
      </w:r>
      <w:r w:rsidR="00714B57">
        <w:rPr>
          <w:i/>
        </w:rPr>
        <w:t xml:space="preserve"> </w:t>
      </w:r>
      <w:r w:rsidRPr="0004402C">
        <w:rPr>
          <w:i/>
          <w:iCs/>
        </w:rPr>
        <w:tab/>
      </w:r>
      <w:r w:rsidR="4B774E0D" w:rsidRPr="00714B57">
        <w:rPr>
          <w:i/>
        </w:rPr>
        <w:t>Id.</w:t>
      </w:r>
      <w:r w:rsidR="4B774E0D" w:rsidRPr="00714B57">
        <w:t xml:space="preserve"> at 17.</w:t>
      </w:r>
    </w:p>
  </w:footnote>
  <w:footnote w:id="91">
    <w:p w14:paraId="438C5061" w14:textId="2A543ED2" w:rsidR="0004402C" w:rsidRPr="0004402C" w:rsidRDefault="0004402C" w:rsidP="00923377">
      <w:pPr>
        <w:pStyle w:val="FootNotePara"/>
        <w:suppressAutoHyphens/>
      </w:pPr>
      <w:r w:rsidRPr="003B2233">
        <w:footnoteRef/>
      </w:r>
      <w:r w:rsidR="008B22F4">
        <w:t>.</w:t>
      </w:r>
      <w:r w:rsidR="00867A82" w:rsidRPr="003B2233">
        <w:t xml:space="preserve"> </w:t>
      </w:r>
      <w:r w:rsidR="4B774E0D" w:rsidRPr="00867A82">
        <w:rPr>
          <w:i/>
        </w:rPr>
        <w:t>Id.</w:t>
      </w:r>
      <w:r w:rsidR="4B774E0D" w:rsidRPr="00867A82">
        <w:t xml:space="preserve"> at 185.</w:t>
      </w:r>
    </w:p>
  </w:footnote>
  <w:footnote w:id="92">
    <w:p w14:paraId="78F46031" w14:textId="25B407F9" w:rsidR="0004402C" w:rsidRPr="0004402C" w:rsidRDefault="0004402C" w:rsidP="00923377">
      <w:pPr>
        <w:pStyle w:val="FootNotePara"/>
        <w:suppressAutoHyphens/>
      </w:pPr>
      <w:r w:rsidRPr="003B2233">
        <w:footnoteRef/>
      </w:r>
      <w:r w:rsidR="008B22F4">
        <w:t>.</w:t>
      </w:r>
      <w:r w:rsidR="00867A82" w:rsidRPr="003B2233">
        <w:t xml:space="preserve"> </w:t>
      </w:r>
      <w:r w:rsidR="4B774E0D" w:rsidRPr="00867A82">
        <w:rPr>
          <w:i/>
        </w:rPr>
        <w:t>Pricing</w:t>
      </w:r>
      <w:r w:rsidR="4B774E0D" w:rsidRPr="00867A82">
        <w:t xml:space="preserve">, </w:t>
      </w:r>
      <w:r w:rsidR="4B774E0D" w:rsidRPr="00867A82">
        <w:rPr>
          <w:smallCaps/>
        </w:rPr>
        <w:t>GitHub</w:t>
      </w:r>
      <w:r w:rsidR="4B774E0D" w:rsidRPr="00867A82">
        <w:t xml:space="preserve">, </w:t>
      </w:r>
      <w:r w:rsidR="4B774E0D" w:rsidRPr="00867A82">
        <w:rPr>
          <w:i/>
        </w:rPr>
        <w:t>supra</w:t>
      </w:r>
      <w:r w:rsidR="4B774E0D" w:rsidRPr="00867A82">
        <w:t xml:space="preserve"> note 5</w:t>
      </w:r>
      <w:r w:rsidR="4B774E0D" w:rsidRPr="00A834E1">
        <w:t>0.</w:t>
      </w:r>
    </w:p>
  </w:footnote>
  <w:footnote w:id="93">
    <w:p w14:paraId="521B3887" w14:textId="304268EC" w:rsidR="0004402C" w:rsidRPr="0004402C" w:rsidRDefault="0004402C" w:rsidP="00923377">
      <w:pPr>
        <w:pStyle w:val="FootNotePara"/>
        <w:suppressAutoHyphens/>
      </w:pPr>
      <w:r w:rsidRPr="003B2233">
        <w:footnoteRef/>
      </w:r>
      <w:r w:rsidR="008B22F4">
        <w:t>.</w:t>
      </w:r>
      <w:r w:rsidR="00867A82" w:rsidRPr="003B2233">
        <w:t xml:space="preserve"> </w:t>
      </w:r>
      <w:r w:rsidR="4B774E0D" w:rsidRPr="00867A82">
        <w:rPr>
          <w:i/>
        </w:rPr>
        <w:t>Id.</w:t>
      </w:r>
    </w:p>
  </w:footnote>
  <w:footnote w:id="94">
    <w:p w14:paraId="79546F20" w14:textId="6F050FF7" w:rsidR="0004402C" w:rsidRPr="0004402C" w:rsidRDefault="0004402C" w:rsidP="00923377">
      <w:pPr>
        <w:pStyle w:val="FootNotePara"/>
        <w:suppressAutoHyphens/>
      </w:pPr>
      <w:r w:rsidRPr="003B2233">
        <w:footnoteRef/>
      </w:r>
      <w:r w:rsidR="008B22F4">
        <w:t>.</w:t>
      </w:r>
      <w:r w:rsidR="00867A82" w:rsidRPr="003B2233">
        <w:t xml:space="preserve"> </w:t>
      </w:r>
      <w:r w:rsidR="4B774E0D" w:rsidRPr="00867A82">
        <w:rPr>
          <w:i/>
        </w:rPr>
        <w:t>Id.</w:t>
      </w:r>
    </w:p>
  </w:footnote>
  <w:footnote w:id="95">
    <w:p w14:paraId="373827E5" w14:textId="29E3A0E0" w:rsidR="0004402C" w:rsidRPr="0004402C" w:rsidRDefault="0004402C" w:rsidP="00923377">
      <w:pPr>
        <w:pStyle w:val="FootNotePara"/>
        <w:suppressAutoHyphens/>
      </w:pPr>
      <w:r w:rsidRPr="003B2233">
        <w:footnoteRef/>
      </w:r>
      <w:r w:rsidR="008B22F4">
        <w:t>.</w:t>
      </w:r>
      <w:r w:rsidRPr="003B2233">
        <w:tab/>
      </w:r>
      <w:r w:rsidR="4B774E0D" w:rsidRPr="00867A82">
        <w:rPr>
          <w:smallCaps/>
        </w:rPr>
        <w:t>Guthals</w:t>
      </w:r>
      <w:r w:rsidR="4B774E0D" w:rsidRPr="00867A82">
        <w:t xml:space="preserve">, </w:t>
      </w:r>
      <w:r w:rsidR="4B774E0D" w:rsidRPr="00867A82">
        <w:rPr>
          <w:i/>
        </w:rPr>
        <w:t>supra</w:t>
      </w:r>
      <w:r w:rsidR="4B774E0D" w:rsidRPr="00867A82">
        <w:t xml:space="preserve"> note 8</w:t>
      </w:r>
      <w:r w:rsidR="00867A82">
        <w:t>7</w:t>
      </w:r>
      <w:r w:rsidR="4B774E0D" w:rsidRPr="00867A82">
        <w:t>, at 31, 281.</w:t>
      </w:r>
    </w:p>
  </w:footnote>
  <w:footnote w:id="96">
    <w:p w14:paraId="005F4D0B" w14:textId="2CC9CFE4" w:rsidR="0004402C" w:rsidRPr="0004402C" w:rsidRDefault="0004402C" w:rsidP="00923377">
      <w:pPr>
        <w:pStyle w:val="FootNotePara"/>
        <w:suppressAutoHyphens/>
      </w:pPr>
      <w:r w:rsidRPr="003B2233">
        <w:footnoteRef/>
      </w:r>
      <w:r w:rsidR="008B22F4">
        <w:rPr>
          <w:iCs/>
        </w:rPr>
        <w:t>.</w:t>
      </w:r>
      <w:r w:rsidRPr="0004402C">
        <w:rPr>
          <w:rFonts w:cs="Times New Roman (Body CS)"/>
          <w:i/>
          <w:iCs/>
        </w:rPr>
        <w:tab/>
      </w:r>
      <w:r w:rsidR="4B774E0D" w:rsidRPr="00867A82">
        <w:rPr>
          <w:i/>
        </w:rPr>
        <w:t>Pricing</w:t>
      </w:r>
      <w:r w:rsidR="4B774E0D" w:rsidRPr="00867A82">
        <w:t xml:space="preserve">, </w:t>
      </w:r>
      <w:r w:rsidR="4B774E0D" w:rsidRPr="00867A82">
        <w:rPr>
          <w:smallCaps/>
        </w:rPr>
        <w:t>GitHub</w:t>
      </w:r>
      <w:r w:rsidR="4B774E0D" w:rsidRPr="00867A82">
        <w:t xml:space="preserve">, </w:t>
      </w:r>
      <w:r w:rsidR="4B774E0D" w:rsidRPr="00867A82">
        <w:rPr>
          <w:i/>
        </w:rPr>
        <w:t>supra</w:t>
      </w:r>
      <w:r w:rsidR="4B774E0D" w:rsidRPr="00867A82">
        <w:t xml:space="preserve"> note 5</w:t>
      </w:r>
      <w:r w:rsidR="4B774E0D" w:rsidRPr="00A834E1">
        <w:t>0.</w:t>
      </w:r>
    </w:p>
  </w:footnote>
  <w:footnote w:id="97">
    <w:p w14:paraId="631B5218" w14:textId="1C2FD409" w:rsidR="0004402C" w:rsidRPr="0004402C" w:rsidRDefault="0004402C" w:rsidP="00923377">
      <w:pPr>
        <w:pStyle w:val="FootNotePara"/>
        <w:suppressAutoHyphens/>
      </w:pPr>
      <w:r w:rsidRPr="003B2233">
        <w:footnoteRef/>
      </w:r>
      <w:r w:rsidR="008B22F4">
        <w:t>.</w:t>
      </w:r>
      <w:r w:rsidR="00A82AAC" w:rsidRPr="003B2233">
        <w:t xml:space="preserve"> </w:t>
      </w:r>
      <w:r w:rsidRPr="003B2233">
        <w:tab/>
      </w:r>
      <w:r w:rsidR="4B774E0D" w:rsidRPr="00D368AF">
        <w:rPr>
          <w:rFonts w:eastAsia="Century Schoolbook" w:cs="Century Schoolbook"/>
          <w:smallCaps/>
          <w:szCs w:val="16"/>
        </w:rPr>
        <w:t>Haff</w:t>
      </w:r>
      <w:r w:rsidR="4B774E0D" w:rsidRPr="00D368AF">
        <w:rPr>
          <w:rFonts w:eastAsia="Century Schoolbook" w:cs="Century Schoolbook"/>
          <w:szCs w:val="16"/>
        </w:rPr>
        <w:t xml:space="preserve">, </w:t>
      </w:r>
      <w:r w:rsidR="4B774E0D" w:rsidRPr="00D368AF">
        <w:rPr>
          <w:rFonts w:eastAsia="Century Schoolbook" w:cs="Century Schoolbook"/>
          <w:i/>
          <w:szCs w:val="16"/>
        </w:rPr>
        <w:t>supra</w:t>
      </w:r>
      <w:r w:rsidR="4B774E0D" w:rsidRPr="00D368AF">
        <w:rPr>
          <w:rFonts w:eastAsia="Century Schoolbook" w:cs="Century Schoolbook"/>
          <w:szCs w:val="16"/>
        </w:rPr>
        <w:t xml:space="preserve"> note 1</w:t>
      </w:r>
      <w:r w:rsidR="009B724C">
        <w:rPr>
          <w:rFonts w:eastAsia="Century Schoolbook" w:cs="Century Schoolbook"/>
          <w:szCs w:val="16"/>
        </w:rPr>
        <w:t>8</w:t>
      </w:r>
      <w:r w:rsidR="4B774E0D" w:rsidRPr="009B724C">
        <w:rPr>
          <w:rFonts w:eastAsia="Century Schoolbook" w:cs="Century Schoolbook"/>
          <w:szCs w:val="16"/>
        </w:rPr>
        <w:t>, at 86–87.</w:t>
      </w:r>
    </w:p>
  </w:footnote>
  <w:footnote w:id="98">
    <w:p w14:paraId="2A295E47" w14:textId="4CD18032" w:rsidR="0004402C" w:rsidRPr="0004402C" w:rsidRDefault="0004402C" w:rsidP="00923377">
      <w:pPr>
        <w:pStyle w:val="FootNotePara"/>
        <w:suppressAutoHyphens/>
      </w:pPr>
      <w:r w:rsidRPr="003B2233">
        <w:footnoteRef/>
      </w:r>
      <w:r w:rsidR="008B22F4">
        <w:t>.</w:t>
      </w:r>
      <w:r w:rsidR="00664B24" w:rsidRPr="003B2233">
        <w:t xml:space="preserve"> </w:t>
      </w:r>
      <w:r w:rsidRPr="0004402C">
        <w:rPr>
          <w:rFonts w:cs="Times New Roman (Body CS)"/>
          <w:i/>
          <w:iCs/>
        </w:rPr>
        <w:tab/>
      </w:r>
      <w:r w:rsidR="4B774E0D" w:rsidRPr="00664B24">
        <w:rPr>
          <w:i/>
        </w:rPr>
        <w:t>Id.</w:t>
      </w:r>
      <w:r w:rsidR="4B774E0D" w:rsidRPr="00664B24">
        <w:t xml:space="preserve"> at 87–89; </w:t>
      </w:r>
      <w:r w:rsidR="4B774E0D" w:rsidRPr="00664B24">
        <w:rPr>
          <w:i/>
        </w:rPr>
        <w:t>Leadership and Governance</w:t>
      </w:r>
      <w:r w:rsidR="4B774E0D" w:rsidRPr="00664B24">
        <w:t xml:space="preserve">, </w:t>
      </w:r>
      <w:r w:rsidR="4B774E0D" w:rsidRPr="00664B24">
        <w:rPr>
          <w:smallCaps/>
        </w:rPr>
        <w:t xml:space="preserve">GitHub: </w:t>
      </w:r>
      <w:r w:rsidR="4B774E0D" w:rsidRPr="006B1B4B">
        <w:rPr>
          <w:smallCaps/>
        </w:rPr>
        <w:t>Open Source Guides</w:t>
      </w:r>
      <w:r w:rsidR="4B774E0D" w:rsidRPr="00C03CF7">
        <w:t xml:space="preserve">, </w:t>
      </w:r>
      <w:r w:rsidRPr="00C03CF7">
        <w:t>https://opensource.guide/leadership-and-governance/</w:t>
      </w:r>
      <w:r w:rsidR="4B774E0D" w:rsidRPr="4B774E0D">
        <w:t xml:space="preserve"> </w:t>
      </w:r>
      <w:r w:rsidR="0077137F">
        <w:t>[</w:t>
      </w:r>
      <w:r w:rsidR="4B774E0D" w:rsidRPr="4B774E0D">
        <w:t>https://perma.cc/6L8C-KD47</w:t>
      </w:r>
      <w:r w:rsidR="0077137F">
        <w:t>]</w:t>
      </w:r>
      <w:r w:rsidR="4B774E0D" w:rsidRPr="0077137F">
        <w:t xml:space="preserve"> (last visited Mar. 20, 2023).</w:t>
      </w:r>
    </w:p>
  </w:footnote>
  <w:footnote w:id="99">
    <w:p w14:paraId="10129FD0" w14:textId="4CF7785E" w:rsidR="0004402C" w:rsidRPr="0004402C" w:rsidRDefault="0004402C" w:rsidP="00923377">
      <w:pPr>
        <w:pStyle w:val="FootNotePara"/>
        <w:suppressAutoHyphens/>
      </w:pPr>
      <w:r w:rsidRPr="003B2233">
        <w:footnoteRef/>
      </w:r>
      <w:r w:rsidR="008B22F4">
        <w:t>.</w:t>
      </w:r>
      <w:r w:rsidR="00A75ACB" w:rsidRPr="003B2233">
        <w:t xml:space="preserve"> </w:t>
      </w:r>
      <w:r w:rsidRPr="003B2233">
        <w:tab/>
      </w:r>
      <w:r w:rsidR="4B774E0D" w:rsidRPr="001E6481">
        <w:rPr>
          <w:smallCaps/>
        </w:rPr>
        <w:t>Haff</w:t>
      </w:r>
      <w:r w:rsidR="4B774E0D" w:rsidRPr="001E6481">
        <w:t xml:space="preserve">, </w:t>
      </w:r>
      <w:r w:rsidR="4B774E0D" w:rsidRPr="001E6481">
        <w:rPr>
          <w:i/>
        </w:rPr>
        <w:t>supra</w:t>
      </w:r>
      <w:r w:rsidR="4B774E0D" w:rsidRPr="001E6481">
        <w:t xml:space="preserve"> note 1</w:t>
      </w:r>
      <w:r w:rsidR="001E6481">
        <w:t>8</w:t>
      </w:r>
      <w:r w:rsidR="4B774E0D" w:rsidRPr="001E6481">
        <w:t xml:space="preserve">, at 87; </w:t>
      </w:r>
      <w:r w:rsidR="4B774E0D" w:rsidRPr="001E6481">
        <w:rPr>
          <w:i/>
        </w:rPr>
        <w:t>Leadership and Governance</w:t>
      </w:r>
      <w:r w:rsidR="4B774E0D" w:rsidRPr="001E6481">
        <w:t xml:space="preserve">, </w:t>
      </w:r>
      <w:r w:rsidR="4B774E0D" w:rsidRPr="001E6481">
        <w:rPr>
          <w:smallCaps/>
        </w:rPr>
        <w:t>GitHub: Open Source Guides</w:t>
      </w:r>
      <w:r w:rsidR="4B774E0D" w:rsidRPr="001E6481">
        <w:t xml:space="preserve">, </w:t>
      </w:r>
      <w:r w:rsidR="4B774E0D" w:rsidRPr="001E6481">
        <w:rPr>
          <w:i/>
        </w:rPr>
        <w:t>supra</w:t>
      </w:r>
      <w:r w:rsidR="4B774E0D" w:rsidRPr="001E6481">
        <w:t xml:space="preserve"> note 9</w:t>
      </w:r>
      <w:r w:rsidR="001E6481">
        <w:t>6</w:t>
      </w:r>
      <w:r w:rsidR="4B774E0D" w:rsidRPr="00F93D1E">
        <w:t>.</w:t>
      </w:r>
    </w:p>
  </w:footnote>
  <w:footnote w:id="100">
    <w:p w14:paraId="3589B61F" w14:textId="76B305EE" w:rsidR="0004402C" w:rsidRPr="0004402C" w:rsidRDefault="0004402C" w:rsidP="00923377">
      <w:pPr>
        <w:pStyle w:val="FootNotePara"/>
        <w:suppressAutoHyphens/>
      </w:pPr>
      <w:r w:rsidRPr="003B2233">
        <w:footnoteRef/>
      </w:r>
      <w:r w:rsidR="008B22F4">
        <w:t>.</w:t>
      </w:r>
      <w:r w:rsidR="0026340A" w:rsidRPr="003B2233">
        <w:t xml:space="preserve"> </w:t>
      </w:r>
      <w:r w:rsidRPr="0004402C">
        <w:rPr>
          <w:rFonts w:cs="Times New Roman (Body CS)"/>
          <w:smallCaps/>
        </w:rPr>
        <w:tab/>
      </w:r>
      <w:r w:rsidR="4B774E0D" w:rsidRPr="0026340A">
        <w:rPr>
          <w:smallCaps/>
        </w:rPr>
        <w:t>Haff</w:t>
      </w:r>
      <w:r w:rsidR="4B774E0D" w:rsidRPr="0026340A">
        <w:t xml:space="preserve">, </w:t>
      </w:r>
      <w:r w:rsidR="4B774E0D" w:rsidRPr="0026340A">
        <w:rPr>
          <w:i/>
        </w:rPr>
        <w:t>supra</w:t>
      </w:r>
      <w:r w:rsidR="4B774E0D" w:rsidRPr="0026340A">
        <w:t xml:space="preserve"> note 1</w:t>
      </w:r>
      <w:r w:rsidR="0026340A">
        <w:t>8</w:t>
      </w:r>
      <w:r w:rsidR="4B774E0D" w:rsidRPr="008450C2">
        <w:t xml:space="preserve">, at 87–88; </w:t>
      </w:r>
      <w:r w:rsidR="4B774E0D" w:rsidRPr="008450C2">
        <w:rPr>
          <w:i/>
        </w:rPr>
        <w:t>Leadership and Governance</w:t>
      </w:r>
      <w:r w:rsidR="4B774E0D" w:rsidRPr="008450C2">
        <w:t xml:space="preserve">, </w:t>
      </w:r>
      <w:r w:rsidR="4B774E0D" w:rsidRPr="008450C2">
        <w:rPr>
          <w:smallCaps/>
        </w:rPr>
        <w:t>GitHub: Open Source Guides</w:t>
      </w:r>
      <w:r w:rsidR="4B774E0D" w:rsidRPr="008450C2">
        <w:t xml:space="preserve">, </w:t>
      </w:r>
      <w:r w:rsidR="4B774E0D" w:rsidRPr="008450C2">
        <w:rPr>
          <w:i/>
        </w:rPr>
        <w:t>supra</w:t>
      </w:r>
      <w:r w:rsidR="4B774E0D" w:rsidRPr="008450C2">
        <w:t xml:space="preserve"> note 9</w:t>
      </w:r>
      <w:r w:rsidR="008450C2">
        <w:t>6</w:t>
      </w:r>
      <w:r w:rsidR="4B774E0D" w:rsidRPr="00F93D1E">
        <w:t>.</w:t>
      </w:r>
    </w:p>
  </w:footnote>
  <w:footnote w:id="101">
    <w:p w14:paraId="7F1C88A4" w14:textId="7DAD26B6" w:rsidR="0004402C" w:rsidRPr="0004402C" w:rsidRDefault="0004402C" w:rsidP="00923377">
      <w:pPr>
        <w:pStyle w:val="FootNotePara"/>
        <w:suppressAutoHyphens/>
      </w:pPr>
      <w:r w:rsidRPr="003B2233">
        <w:footnoteRef/>
      </w:r>
      <w:r w:rsidR="008B22F4">
        <w:t>.</w:t>
      </w:r>
      <w:r w:rsidR="006C45FA" w:rsidRPr="003B2233">
        <w:t xml:space="preserve"> </w:t>
      </w:r>
      <w:r w:rsidRPr="003B2233">
        <w:tab/>
      </w:r>
      <w:r w:rsidR="4B774E0D" w:rsidRPr="006C45FA">
        <w:rPr>
          <w:smallCaps/>
        </w:rPr>
        <w:t>Haff</w:t>
      </w:r>
      <w:r w:rsidR="4B774E0D" w:rsidRPr="006C45FA">
        <w:t xml:space="preserve">, </w:t>
      </w:r>
      <w:r w:rsidR="4B774E0D" w:rsidRPr="006C45FA">
        <w:rPr>
          <w:i/>
        </w:rPr>
        <w:t>supra</w:t>
      </w:r>
      <w:r w:rsidR="4B774E0D" w:rsidRPr="006C45FA">
        <w:t xml:space="preserve"> note 1</w:t>
      </w:r>
      <w:r w:rsidR="006C45FA">
        <w:t>8</w:t>
      </w:r>
      <w:r w:rsidR="4B774E0D" w:rsidRPr="00F93D1E">
        <w:t>, at 88.</w:t>
      </w:r>
    </w:p>
  </w:footnote>
  <w:footnote w:id="102">
    <w:p w14:paraId="04B3036D" w14:textId="6FEC39F8" w:rsidR="0004402C" w:rsidRPr="0004402C" w:rsidRDefault="0004402C" w:rsidP="00923377">
      <w:pPr>
        <w:pStyle w:val="FootNotePara"/>
        <w:suppressAutoHyphens/>
      </w:pPr>
      <w:r w:rsidRPr="003B2233">
        <w:footnoteRef/>
      </w:r>
      <w:r w:rsidR="008B22F4">
        <w:t>.</w:t>
      </w:r>
      <w:r w:rsidR="006C45FA" w:rsidRPr="003B2233">
        <w:t xml:space="preserve"> </w:t>
      </w:r>
      <w:r w:rsidRPr="0004402C">
        <w:rPr>
          <w:i/>
          <w:iCs/>
        </w:rPr>
        <w:tab/>
      </w:r>
      <w:r w:rsidR="4B774E0D" w:rsidRPr="006C45FA">
        <w:rPr>
          <w:i/>
        </w:rPr>
        <w:t>Id.</w:t>
      </w:r>
      <w:r w:rsidR="4B774E0D" w:rsidRPr="006C45FA">
        <w:t xml:space="preserve">; </w:t>
      </w:r>
      <w:r w:rsidR="4B774E0D" w:rsidRPr="006C45FA">
        <w:rPr>
          <w:i/>
        </w:rPr>
        <w:t>Leadership and Governance</w:t>
      </w:r>
      <w:r w:rsidR="4B774E0D" w:rsidRPr="006C45FA">
        <w:t xml:space="preserve">, </w:t>
      </w:r>
      <w:r w:rsidR="4B774E0D" w:rsidRPr="006C45FA">
        <w:rPr>
          <w:smallCaps/>
        </w:rPr>
        <w:t>GitHub: Open Source Guides</w:t>
      </w:r>
      <w:r w:rsidR="4B774E0D" w:rsidRPr="006C45FA">
        <w:t xml:space="preserve">, </w:t>
      </w:r>
      <w:r w:rsidR="4B774E0D" w:rsidRPr="006C45FA">
        <w:rPr>
          <w:i/>
        </w:rPr>
        <w:t>supra</w:t>
      </w:r>
      <w:r w:rsidR="4B774E0D" w:rsidRPr="006C45FA">
        <w:t xml:space="preserve"> note 9</w:t>
      </w:r>
      <w:r w:rsidR="00F93D1E">
        <w:t>6</w:t>
      </w:r>
      <w:r w:rsidR="4B774E0D" w:rsidRPr="006C45FA">
        <w:t xml:space="preserve"> </w:t>
      </w:r>
      <w:r w:rsidR="001511CE">
        <w:t xml:space="preserve">(citing </w:t>
      </w:r>
      <w:r w:rsidR="001511CE">
        <w:rPr>
          <w:i/>
        </w:rPr>
        <w:t>Meritocracy</w:t>
      </w:r>
      <w:r w:rsidR="001511CE">
        <w:t xml:space="preserve">, </w:t>
      </w:r>
      <w:r w:rsidR="001511CE" w:rsidRPr="001511CE">
        <w:rPr>
          <w:smallCaps/>
        </w:rPr>
        <w:t>Geek Feminism Wiki: Fandom</w:t>
      </w:r>
      <w:r w:rsidR="001511CE">
        <w:t xml:space="preserve">, </w:t>
      </w:r>
      <w:r w:rsidR="001511CE" w:rsidRPr="00E11EAC">
        <w:rPr>
          <w:rFonts w:eastAsia="Century Schoolbook" w:cs="Century Schoolbook"/>
          <w:szCs w:val="16"/>
        </w:rPr>
        <w:t>https://geekfeminism.fandom.com/wiki/Meritocracy</w:t>
      </w:r>
      <w:r w:rsidR="001511CE">
        <w:t xml:space="preserve"> </w:t>
      </w:r>
      <w:r w:rsidR="00B739B0">
        <w:t>[</w:t>
      </w:r>
      <w:r w:rsidR="009E57AA" w:rsidRPr="009E57AA">
        <w:t>https://perma.cc/6NXU-KM9Q</w:t>
      </w:r>
      <w:r w:rsidR="009E57AA">
        <w:t>]</w:t>
      </w:r>
      <w:r w:rsidR="00B739B0">
        <w:t xml:space="preserve"> </w:t>
      </w:r>
      <w:r w:rsidR="001511CE">
        <w:t xml:space="preserve">(last visited Dec. 24, 2024)) </w:t>
      </w:r>
      <w:r w:rsidR="4B774E0D" w:rsidRPr="006C45FA">
        <w:t>(Also note, the term “meritocracy” may carry negative connotations for some communities. Meritocracies tend to promote people with skills who are also outspoken, which tends to disadvantage women.).</w:t>
      </w:r>
    </w:p>
  </w:footnote>
  <w:footnote w:id="103">
    <w:p w14:paraId="62972C36" w14:textId="3DA57888" w:rsidR="0004402C" w:rsidRPr="0004402C" w:rsidRDefault="0004402C" w:rsidP="00923377">
      <w:pPr>
        <w:pStyle w:val="FootNotePara"/>
        <w:suppressAutoHyphens/>
      </w:pPr>
      <w:r w:rsidRPr="003B2233">
        <w:footnoteRef/>
      </w:r>
      <w:r w:rsidR="008B22F4">
        <w:t>.</w:t>
      </w:r>
      <w:r w:rsidR="00F93D1E" w:rsidRPr="003B2233">
        <w:t xml:space="preserve"> </w:t>
      </w:r>
      <w:r w:rsidR="4B774E0D" w:rsidRPr="00F93D1E">
        <w:rPr>
          <w:i/>
        </w:rPr>
        <w:t>Leadership and Governance</w:t>
      </w:r>
      <w:r w:rsidR="4B774E0D" w:rsidRPr="00F93D1E">
        <w:t xml:space="preserve">, </w:t>
      </w:r>
      <w:r w:rsidR="4B774E0D" w:rsidRPr="00F93D1E">
        <w:rPr>
          <w:smallCaps/>
        </w:rPr>
        <w:t>GitHub: Open Source Guides</w:t>
      </w:r>
      <w:r w:rsidR="4B774E0D" w:rsidRPr="00F93D1E">
        <w:t xml:space="preserve">, </w:t>
      </w:r>
      <w:r w:rsidR="4B774E0D" w:rsidRPr="00F93D1E">
        <w:rPr>
          <w:i/>
        </w:rPr>
        <w:t>supra</w:t>
      </w:r>
      <w:r w:rsidR="4B774E0D" w:rsidRPr="00F93D1E">
        <w:t xml:space="preserve"> note 9</w:t>
      </w:r>
      <w:r w:rsidR="00F93D1E">
        <w:t>6</w:t>
      </w:r>
      <w:r w:rsidR="4B774E0D" w:rsidRPr="00F93D1E">
        <w:t>.</w:t>
      </w:r>
    </w:p>
  </w:footnote>
  <w:footnote w:id="104">
    <w:p w14:paraId="5C87F59F" w14:textId="3815F6AF" w:rsidR="0004402C" w:rsidRPr="0004402C" w:rsidRDefault="0004402C" w:rsidP="00923377">
      <w:pPr>
        <w:pStyle w:val="FootNotePara"/>
        <w:suppressAutoHyphens/>
      </w:pPr>
      <w:r w:rsidRPr="003B2233">
        <w:footnoteRef/>
      </w:r>
      <w:r w:rsidR="008B22F4">
        <w:t>.</w:t>
      </w:r>
      <w:r w:rsidR="0029207E" w:rsidRPr="003B2233">
        <w:t xml:space="preserve"> </w:t>
      </w:r>
      <w:r w:rsidRPr="003B2233">
        <w:tab/>
      </w:r>
      <w:r w:rsidR="4B774E0D" w:rsidRPr="00F93D1E">
        <w:rPr>
          <w:smallCaps/>
        </w:rPr>
        <w:t>Haff</w:t>
      </w:r>
      <w:r w:rsidR="4B774E0D" w:rsidRPr="00F93D1E">
        <w:t xml:space="preserve">, </w:t>
      </w:r>
      <w:r w:rsidR="4B774E0D" w:rsidRPr="00F93D1E">
        <w:rPr>
          <w:i/>
        </w:rPr>
        <w:t>supra</w:t>
      </w:r>
      <w:r w:rsidR="4B774E0D" w:rsidRPr="00F93D1E">
        <w:t xml:space="preserve"> note 1</w:t>
      </w:r>
      <w:r w:rsidR="00F93D1E">
        <w:t>8</w:t>
      </w:r>
      <w:r w:rsidR="4B774E0D" w:rsidRPr="00F93D1E">
        <w:t xml:space="preserve">, at 89; </w:t>
      </w:r>
      <w:r w:rsidR="4B774E0D" w:rsidRPr="00F93D1E">
        <w:rPr>
          <w:i/>
        </w:rPr>
        <w:t>Leadership and Governance</w:t>
      </w:r>
      <w:r w:rsidR="4B774E0D" w:rsidRPr="00F93D1E">
        <w:t xml:space="preserve">, </w:t>
      </w:r>
      <w:r w:rsidR="4B774E0D" w:rsidRPr="00F93D1E">
        <w:rPr>
          <w:smallCaps/>
        </w:rPr>
        <w:t>GitHub: Open Source Guides</w:t>
      </w:r>
      <w:r w:rsidR="4B774E0D" w:rsidRPr="00F93D1E">
        <w:t xml:space="preserve">, </w:t>
      </w:r>
      <w:r w:rsidR="4B774E0D" w:rsidRPr="00F93D1E">
        <w:rPr>
          <w:i/>
        </w:rPr>
        <w:t>supra</w:t>
      </w:r>
      <w:r w:rsidR="4B774E0D" w:rsidRPr="00F93D1E">
        <w:t xml:space="preserve"> note 9</w:t>
      </w:r>
      <w:r w:rsidR="00F93D1E">
        <w:t>6</w:t>
      </w:r>
      <w:r w:rsidR="4B774E0D" w:rsidRPr="006B1B4B">
        <w:t>.</w:t>
      </w:r>
    </w:p>
  </w:footnote>
  <w:footnote w:id="105">
    <w:p w14:paraId="66E6C514" w14:textId="0EE31128" w:rsidR="0004402C" w:rsidRPr="00FA2EFF" w:rsidRDefault="0004402C" w:rsidP="00923377">
      <w:pPr>
        <w:pStyle w:val="FootNotePara"/>
        <w:suppressAutoHyphens/>
        <w:jc w:val="left"/>
      </w:pPr>
      <w:r w:rsidRPr="003B2233">
        <w:footnoteRef/>
      </w:r>
      <w:r w:rsidR="008B22F4">
        <w:t>.</w:t>
      </w:r>
      <w:r w:rsidR="000C5652" w:rsidRPr="003B2233">
        <w:t xml:space="preserve"> </w:t>
      </w:r>
      <w:r w:rsidR="00FA2EFF" w:rsidRPr="00F93D1E">
        <w:rPr>
          <w:smallCaps/>
        </w:rPr>
        <w:t>Haff</w:t>
      </w:r>
      <w:r w:rsidR="00FA2EFF" w:rsidRPr="00F93D1E">
        <w:t xml:space="preserve">, </w:t>
      </w:r>
      <w:r w:rsidR="00FA2EFF" w:rsidRPr="00F93D1E">
        <w:rPr>
          <w:i/>
        </w:rPr>
        <w:t>supra</w:t>
      </w:r>
      <w:r w:rsidR="00FA2EFF" w:rsidRPr="00F93D1E">
        <w:t xml:space="preserve"> note 1</w:t>
      </w:r>
      <w:r w:rsidR="00FA2EFF">
        <w:t>8</w:t>
      </w:r>
      <w:r w:rsidR="00FA2EFF" w:rsidRPr="00F93D1E">
        <w:t xml:space="preserve">, at 89; </w:t>
      </w:r>
      <w:r w:rsidR="00FA2EFF" w:rsidRPr="00F93D1E">
        <w:rPr>
          <w:i/>
        </w:rPr>
        <w:t>Leadership and Governance</w:t>
      </w:r>
      <w:r w:rsidR="00FA2EFF" w:rsidRPr="00F93D1E">
        <w:t xml:space="preserve">, </w:t>
      </w:r>
      <w:r w:rsidR="00FA2EFF" w:rsidRPr="00F93D1E">
        <w:rPr>
          <w:smallCaps/>
        </w:rPr>
        <w:t>GitHub: Open Source Guides</w:t>
      </w:r>
      <w:r w:rsidR="00FA2EFF" w:rsidRPr="00F93D1E">
        <w:t xml:space="preserve">, </w:t>
      </w:r>
      <w:r w:rsidR="00FA2EFF" w:rsidRPr="00F93D1E">
        <w:rPr>
          <w:i/>
        </w:rPr>
        <w:t>supra</w:t>
      </w:r>
      <w:r w:rsidR="00FA2EFF" w:rsidRPr="00F93D1E">
        <w:t xml:space="preserve"> note 9</w:t>
      </w:r>
      <w:r w:rsidR="00FA2EFF">
        <w:t>6</w:t>
      </w:r>
      <w:r w:rsidR="00FA2EFF" w:rsidRPr="00EC5FA8">
        <w:t>.</w:t>
      </w:r>
    </w:p>
  </w:footnote>
  <w:footnote w:id="106">
    <w:p w14:paraId="3E2374D2" w14:textId="1F69A5B9" w:rsidR="0004402C" w:rsidRPr="0004402C" w:rsidRDefault="0004402C" w:rsidP="00923377">
      <w:pPr>
        <w:pStyle w:val="FootNotePara"/>
        <w:suppressAutoHyphens/>
        <w:rPr>
          <w:i/>
        </w:rPr>
      </w:pPr>
      <w:r w:rsidRPr="003B2233">
        <w:footnoteRef/>
      </w:r>
      <w:r w:rsidR="008B22F4">
        <w:t>.</w:t>
      </w:r>
      <w:r w:rsidR="00FE7183" w:rsidRPr="003B2233">
        <w:t xml:space="preserve"> </w:t>
      </w:r>
      <w:r w:rsidRPr="003B2233">
        <w:tab/>
      </w:r>
      <w:r w:rsidR="4B774E0D" w:rsidRPr="002C5C8D">
        <w:rPr>
          <w:i/>
        </w:rPr>
        <w:t>Governance Policy</w:t>
      </w:r>
      <w:r w:rsidR="4B774E0D" w:rsidRPr="002C5C8D">
        <w:t xml:space="preserve">, </w:t>
      </w:r>
      <w:r w:rsidR="4B774E0D" w:rsidRPr="002C5C8D">
        <w:rPr>
          <w:smallCaps/>
        </w:rPr>
        <w:t>GitHub</w:t>
      </w:r>
      <w:r w:rsidR="4B774E0D" w:rsidRPr="002C5C8D">
        <w:t xml:space="preserve">, </w:t>
      </w:r>
      <w:r w:rsidRPr="002C5C8D">
        <w:t>https://github.com/github/MVG/blob/main/project-docs/GOVERNANCE.md</w:t>
      </w:r>
      <w:r w:rsidR="4B774E0D" w:rsidRPr="002C5C8D">
        <w:t xml:space="preserve"> </w:t>
      </w:r>
      <w:r w:rsidR="002C5C8D">
        <w:t>[</w:t>
      </w:r>
      <w:r w:rsidR="0015463C" w:rsidRPr="0015463C">
        <w:t>https://perma.cc/6B3D-4NP2</w:t>
      </w:r>
      <w:r w:rsidR="002C5C8D">
        <w:t xml:space="preserve">] </w:t>
      </w:r>
      <w:r w:rsidR="4B774E0D" w:rsidRPr="002C5C8D">
        <w:t xml:space="preserve">(last visited Mar. 21, 2023); Justin Colannino, </w:t>
      </w:r>
      <w:r w:rsidR="4B774E0D" w:rsidRPr="002C5C8D">
        <w:rPr>
          <w:i/>
        </w:rPr>
        <w:t>Minimum Viable Governance: Lightweight Community Structure to Grow your FOSS Projects</w:t>
      </w:r>
      <w:r w:rsidR="4B774E0D" w:rsidRPr="002C5C8D">
        <w:t xml:space="preserve">, </w:t>
      </w:r>
      <w:r w:rsidR="4B774E0D" w:rsidRPr="002C5C8D">
        <w:rPr>
          <w:smallCaps/>
        </w:rPr>
        <w:t>GitHub Blog</w:t>
      </w:r>
      <w:r w:rsidR="4B774E0D" w:rsidRPr="002C5C8D">
        <w:t xml:space="preserve"> (July 22, 2021), </w:t>
      </w:r>
      <w:r w:rsidRPr="002C5C8D">
        <w:t>https://github.blog/2021-07-22-minimum-viable-governance-lightweight-community-structure-foss-projects/</w:t>
      </w:r>
      <w:r w:rsidR="4B774E0D" w:rsidRPr="4B774E0D">
        <w:t xml:space="preserve"> </w:t>
      </w:r>
      <w:r w:rsidR="009E75D4">
        <w:t>[</w:t>
      </w:r>
      <w:r w:rsidR="4B774E0D" w:rsidRPr="4B774E0D">
        <w:t>https://perma.cc/B46F-55LW</w:t>
      </w:r>
      <w:r w:rsidR="009E75D4">
        <w:t>]</w:t>
      </w:r>
      <w:r w:rsidR="4B774E0D" w:rsidRPr="00F9652E">
        <w:t>.</w:t>
      </w:r>
    </w:p>
  </w:footnote>
  <w:footnote w:id="107">
    <w:p w14:paraId="71456CFC" w14:textId="592D3E18" w:rsidR="0004402C" w:rsidRPr="0004402C" w:rsidRDefault="0004402C" w:rsidP="00923377">
      <w:pPr>
        <w:pStyle w:val="FootNotePara"/>
        <w:suppressAutoHyphens/>
      </w:pPr>
      <w:r w:rsidRPr="003B2233">
        <w:footnoteRef/>
      </w:r>
      <w:r w:rsidR="008B22F4">
        <w:t>.</w:t>
      </w:r>
      <w:r w:rsidR="0019417C" w:rsidRPr="003B2233">
        <w:t xml:space="preserve"> </w:t>
      </w:r>
      <w:r w:rsidRPr="0004402C">
        <w:rPr>
          <w:rFonts w:cs="Times New Roman (Body CS)"/>
          <w:smallCaps/>
        </w:rPr>
        <w:tab/>
      </w:r>
      <w:r w:rsidR="4B774E0D" w:rsidRPr="0019417C">
        <w:rPr>
          <w:smallCaps/>
        </w:rPr>
        <w:t>Haff</w:t>
      </w:r>
      <w:r w:rsidR="4B774E0D" w:rsidRPr="0019417C">
        <w:t xml:space="preserve">, </w:t>
      </w:r>
      <w:r w:rsidR="4B774E0D" w:rsidRPr="0019417C">
        <w:rPr>
          <w:i/>
        </w:rPr>
        <w:t>supra</w:t>
      </w:r>
      <w:r w:rsidR="4B774E0D" w:rsidRPr="0019417C">
        <w:t xml:space="preserve"> note 1</w:t>
      </w:r>
      <w:r w:rsidR="0019417C">
        <w:t>8</w:t>
      </w:r>
      <w:r w:rsidR="4B774E0D" w:rsidRPr="0019417C">
        <w:t>, at 89.</w:t>
      </w:r>
    </w:p>
  </w:footnote>
  <w:footnote w:id="108">
    <w:p w14:paraId="0F72F171" w14:textId="72B9B3A2" w:rsidR="0004402C" w:rsidRPr="0004402C" w:rsidRDefault="0004402C" w:rsidP="00923377">
      <w:pPr>
        <w:pStyle w:val="FootNotePara"/>
        <w:suppressAutoHyphens/>
      </w:pPr>
      <w:r w:rsidRPr="003B2233">
        <w:footnoteRef/>
      </w:r>
      <w:r w:rsidR="008B22F4">
        <w:t>.</w:t>
      </w:r>
      <w:r w:rsidR="0019417C" w:rsidRPr="003B2233">
        <w:t xml:space="preserve"> </w:t>
      </w:r>
      <w:r w:rsidRPr="0004402C">
        <w:tab/>
      </w:r>
      <w:r w:rsidR="4B774E0D" w:rsidRPr="0019417C">
        <w:t>17 U.S.C. §§</w:t>
      </w:r>
      <w:r w:rsidR="006E13AA">
        <w:t> </w:t>
      </w:r>
      <w:r w:rsidR="4B774E0D" w:rsidRPr="0019417C">
        <w:t>101–102 (2022).</w:t>
      </w:r>
    </w:p>
  </w:footnote>
  <w:footnote w:id="109">
    <w:p w14:paraId="47A5331F" w14:textId="67B3AB26" w:rsidR="0004402C" w:rsidRPr="0004402C" w:rsidRDefault="0004402C" w:rsidP="00923377">
      <w:pPr>
        <w:pStyle w:val="FootNotePara"/>
        <w:suppressAutoHyphens/>
      </w:pPr>
      <w:r w:rsidRPr="003B2233">
        <w:footnoteRef/>
      </w:r>
      <w:r w:rsidR="008B22F4">
        <w:t>.</w:t>
      </w:r>
      <w:r w:rsidR="00BC6C6C" w:rsidRPr="003B2233">
        <w:t xml:space="preserve"> </w:t>
      </w:r>
      <w:r w:rsidR="4B774E0D" w:rsidRPr="00BC6C6C">
        <w:rPr>
          <w:smallCaps/>
        </w:rPr>
        <w:t>Eghbal</w:t>
      </w:r>
      <w:r w:rsidR="4B774E0D" w:rsidRPr="00BC6C6C">
        <w:t xml:space="preserve">, </w:t>
      </w:r>
      <w:r w:rsidR="4B774E0D" w:rsidRPr="00BC6C6C">
        <w:rPr>
          <w:i/>
        </w:rPr>
        <w:t>supra</w:t>
      </w:r>
      <w:r w:rsidR="4B774E0D" w:rsidRPr="00BC6C6C">
        <w:t xml:space="preserve"> note 4</w:t>
      </w:r>
      <w:r w:rsidR="4B774E0D" w:rsidRPr="008603EA">
        <w:rPr>
          <w:rFonts w:cs="Times New Roman (Body CS)"/>
        </w:rPr>
        <w:t>5</w:t>
      </w:r>
      <w:r w:rsidR="4B774E0D" w:rsidRPr="00BC6C6C">
        <w:t>, at</w:t>
      </w:r>
      <w:r w:rsidR="4B774E0D" w:rsidRPr="00BC6C6C">
        <w:rPr>
          <w:smallCaps/>
        </w:rPr>
        <w:t xml:space="preserve"> </w:t>
      </w:r>
      <w:r w:rsidR="4B774E0D" w:rsidRPr="00BC6C6C">
        <w:t>146.</w:t>
      </w:r>
    </w:p>
  </w:footnote>
  <w:footnote w:id="110">
    <w:p w14:paraId="27A71982" w14:textId="664B0961" w:rsidR="0004402C" w:rsidRPr="0004402C" w:rsidRDefault="0004402C" w:rsidP="00923377">
      <w:pPr>
        <w:pStyle w:val="FootNotePara"/>
        <w:suppressAutoHyphens/>
      </w:pPr>
      <w:r w:rsidRPr="003B2233">
        <w:footnoteRef/>
      </w:r>
      <w:r w:rsidR="008B22F4">
        <w:t>.</w:t>
      </w:r>
      <w:r w:rsidR="00BC6C6C" w:rsidRPr="003B2233">
        <w:t xml:space="preserve"> </w:t>
      </w:r>
      <w:r w:rsidR="4B774E0D" w:rsidRPr="00BC6C6C">
        <w:t xml:space="preserve">Sean Norick Long et al., </w:t>
      </w:r>
      <w:r w:rsidR="4B774E0D" w:rsidRPr="00BC6C6C">
        <w:rPr>
          <w:i/>
        </w:rPr>
        <w:t>Why Section 230 Reformers Should Start Paying Attention to Social Code Platforms</w:t>
      </w:r>
      <w:r w:rsidR="4B774E0D" w:rsidRPr="00BC6C6C">
        <w:t xml:space="preserve">, </w:t>
      </w:r>
      <w:r w:rsidR="4B774E0D" w:rsidRPr="00BC6C6C">
        <w:rPr>
          <w:smallCaps/>
        </w:rPr>
        <w:t>Geo. L. Tech. Rev.</w:t>
      </w:r>
      <w:r w:rsidR="4B774E0D" w:rsidRPr="00BC6C6C">
        <w:t xml:space="preserve"> (Nov. 2022), </w:t>
      </w:r>
      <w:r w:rsidRPr="00BC6C6C">
        <w:t>https://georgetownlawtechreview.org/why-section-230-reformers-should-start-paying-attention-to-social-code-platforms/GLTR-11-2022/</w:t>
      </w:r>
      <w:r w:rsidR="4B774E0D" w:rsidRPr="4B774E0D">
        <w:t xml:space="preserve"> </w:t>
      </w:r>
      <w:r w:rsidR="00BC6C6C">
        <w:t>[</w:t>
      </w:r>
      <w:r w:rsidR="4B774E0D" w:rsidRPr="4B774E0D">
        <w:t>https://perma.cc/4W24-9MTE</w:t>
      </w:r>
      <w:r w:rsidR="00BC6C6C">
        <w:t>]</w:t>
      </w:r>
      <w:r w:rsidRPr="00BC6C6C">
        <w:t>.</w:t>
      </w:r>
    </w:p>
  </w:footnote>
  <w:footnote w:id="111">
    <w:p w14:paraId="508A639F" w14:textId="526ACD19" w:rsidR="0004402C" w:rsidRPr="0004402C" w:rsidRDefault="0004402C" w:rsidP="00923377">
      <w:pPr>
        <w:pStyle w:val="FootNotePara"/>
        <w:suppressAutoHyphens/>
      </w:pPr>
      <w:r w:rsidRPr="003B2233">
        <w:footnoteRef/>
      </w:r>
      <w:r w:rsidR="008B22F4">
        <w:t>.</w:t>
      </w:r>
      <w:r w:rsidR="00BF5C78" w:rsidRPr="003B2233">
        <w:t xml:space="preserve"> </w:t>
      </w:r>
      <w:r w:rsidR="4B774E0D" w:rsidRPr="00BF5C78">
        <w:rPr>
          <w:i/>
        </w:rPr>
        <w:t>Id.</w:t>
      </w:r>
    </w:p>
  </w:footnote>
  <w:footnote w:id="112">
    <w:p w14:paraId="681CAAF8" w14:textId="1B1A1380" w:rsidR="0004402C" w:rsidRPr="0004402C" w:rsidRDefault="0004402C" w:rsidP="00923377">
      <w:pPr>
        <w:pStyle w:val="FootNotePara"/>
        <w:suppressAutoHyphens/>
        <w:jc w:val="left"/>
      </w:pPr>
      <w:r w:rsidRPr="003B2233">
        <w:footnoteRef/>
      </w:r>
      <w:r w:rsidR="008B22F4">
        <w:t>.</w:t>
      </w:r>
      <w:r w:rsidR="006A13AB" w:rsidRPr="003B2233">
        <w:t xml:space="preserve"> </w:t>
      </w:r>
      <w:r w:rsidR="4B774E0D" w:rsidRPr="00E30260">
        <w:rPr>
          <w:i/>
        </w:rPr>
        <w:t>See, e.g.</w:t>
      </w:r>
      <w:r w:rsidR="4B774E0D" w:rsidRPr="00E30260">
        <w:t xml:space="preserve">, </w:t>
      </w:r>
      <w:r w:rsidR="4B774E0D" w:rsidRPr="00E30260">
        <w:rPr>
          <w:i/>
        </w:rPr>
        <w:t>About GitHub and Git</w:t>
      </w:r>
      <w:r w:rsidR="4B774E0D" w:rsidRPr="00E30260">
        <w:t xml:space="preserve">, </w:t>
      </w:r>
      <w:r w:rsidR="4B774E0D" w:rsidRPr="00E30260">
        <w:rPr>
          <w:smallCaps/>
        </w:rPr>
        <w:t>GitHub</w:t>
      </w:r>
      <w:r w:rsidR="4B774E0D" w:rsidRPr="00E30260">
        <w:t xml:space="preserve">, </w:t>
      </w:r>
      <w:r w:rsidRPr="00E30260">
        <w:t>https://docs.github.com/en/get-started/start-your-journey/about-github-and-git</w:t>
      </w:r>
      <w:r w:rsidR="4B774E0D" w:rsidRPr="4B774E0D">
        <w:t xml:space="preserve"> </w:t>
      </w:r>
      <w:r w:rsidR="005C2A5F">
        <w:t>[</w:t>
      </w:r>
      <w:r w:rsidR="4B774E0D" w:rsidRPr="4B774E0D">
        <w:t>https://perma.cc/9762-FUT7</w:t>
      </w:r>
      <w:r w:rsidR="005C2A5F">
        <w:t>]</w:t>
      </w:r>
      <w:r w:rsidR="4B774E0D" w:rsidRPr="00E30260">
        <w:t xml:space="preserve"> (last visited Oct. 25, 2024) (stating that storing code on GitHub, a VCS platform, allows developers to collaborate).</w:t>
      </w:r>
    </w:p>
  </w:footnote>
  <w:footnote w:id="113">
    <w:p w14:paraId="2ED7CEA0" w14:textId="3F6FA067" w:rsidR="0004402C" w:rsidRPr="0004402C" w:rsidRDefault="0004402C" w:rsidP="00923377">
      <w:pPr>
        <w:pStyle w:val="FootNotePara"/>
        <w:suppressAutoHyphens/>
      </w:pPr>
      <w:r w:rsidRPr="003B2233">
        <w:footnoteRef/>
      </w:r>
      <w:r w:rsidR="007A1CE6">
        <w:t>.</w:t>
      </w:r>
      <w:r w:rsidR="00127B11" w:rsidRPr="003B2233">
        <w:t xml:space="preserve"> </w:t>
      </w:r>
      <w:r w:rsidRPr="0004402C">
        <w:tab/>
      </w:r>
      <w:r w:rsidR="4B774E0D" w:rsidRPr="006B1B4B">
        <w:t xml:space="preserve">Abby Vollmer, </w:t>
      </w:r>
      <w:r w:rsidR="4B774E0D" w:rsidRPr="006B1B4B">
        <w:rPr>
          <w:i/>
        </w:rPr>
        <w:t>GitHub’s Developer-First Approach to Content Moderation</w:t>
      </w:r>
      <w:r w:rsidR="4B774E0D" w:rsidRPr="006B1B4B">
        <w:t xml:space="preserve">, </w:t>
      </w:r>
      <w:r w:rsidR="4B774E0D" w:rsidRPr="006B1B4B">
        <w:rPr>
          <w:smallCaps/>
        </w:rPr>
        <w:t>GitHub Blog</w:t>
      </w:r>
      <w:r w:rsidR="4B774E0D" w:rsidRPr="006B1B4B">
        <w:t xml:space="preserve"> (Nov. 17, 2021), </w:t>
      </w:r>
      <w:r w:rsidR="00635BEB" w:rsidRPr="002F0015">
        <w:rPr>
          <w:rFonts w:eastAsia="Century Schoolbook" w:cs="Century Schoolbook"/>
          <w:szCs w:val="16"/>
        </w:rPr>
        <w:t>https://github.blog/2021-11-17-githubs-developer-first-approach-to-content-moderation</w:t>
      </w:r>
      <w:r w:rsidR="00635BEB">
        <w:t xml:space="preserve"> [</w:t>
      </w:r>
      <w:r w:rsidR="008A5B3E" w:rsidRPr="008A5B3E">
        <w:t>https://perma.cc/59M5-5SUM</w:t>
      </w:r>
      <w:r w:rsidR="00635BEB">
        <w:t>]</w:t>
      </w:r>
      <w:r w:rsidR="4B774E0D" w:rsidRPr="006B1B4B">
        <w:t>.</w:t>
      </w:r>
    </w:p>
  </w:footnote>
  <w:footnote w:id="114">
    <w:p w14:paraId="281EA47F" w14:textId="07A1B9DD" w:rsidR="0004402C" w:rsidRPr="0004402C" w:rsidRDefault="0004402C" w:rsidP="00923377">
      <w:pPr>
        <w:pStyle w:val="FootNotePara"/>
        <w:suppressAutoHyphens/>
      </w:pPr>
      <w:r w:rsidRPr="003B2233">
        <w:footnoteRef/>
      </w:r>
      <w:r w:rsidR="007A1CE6">
        <w:t>.</w:t>
      </w:r>
      <w:r w:rsidR="009B73DB" w:rsidRPr="003B2233">
        <w:t xml:space="preserve"> </w:t>
      </w:r>
      <w:r w:rsidRPr="0004402C">
        <w:tab/>
      </w:r>
      <w:r w:rsidR="4B774E0D" w:rsidRPr="006B1B4B">
        <w:t xml:space="preserve">Christoph Busch, </w:t>
      </w:r>
      <w:r w:rsidR="4B774E0D" w:rsidRPr="006B1B4B">
        <w:rPr>
          <w:i/>
        </w:rPr>
        <w:t>Regulating the Expanding Content Moderation Universe: A European Perspective on Infrastructure Moderation</w:t>
      </w:r>
      <w:r w:rsidR="4B774E0D" w:rsidRPr="006B1B4B">
        <w:t xml:space="preserve">, 27 </w:t>
      </w:r>
      <w:r w:rsidR="4B774E0D" w:rsidRPr="006B1B4B">
        <w:rPr>
          <w:smallCaps/>
        </w:rPr>
        <w:t>UCLA J.L. &amp; Tech.</w:t>
      </w:r>
      <w:r w:rsidR="4B774E0D" w:rsidRPr="006B1B4B">
        <w:t xml:space="preserve"> 32, 37, 44</w:t>
      </w:r>
      <w:r w:rsidRPr="006B1B4B">
        <w:t xml:space="preserve"> (2022)</w:t>
      </w:r>
      <w:r w:rsidR="4B774E0D" w:rsidRPr="006B1B4B">
        <w:t>.</w:t>
      </w:r>
    </w:p>
  </w:footnote>
  <w:footnote w:id="115">
    <w:p w14:paraId="3A9963D8" w14:textId="32BD61D8" w:rsidR="0004402C" w:rsidRPr="0004402C" w:rsidRDefault="0004402C" w:rsidP="00923377">
      <w:pPr>
        <w:pStyle w:val="FootNotePara"/>
        <w:suppressAutoHyphens/>
      </w:pPr>
      <w:r w:rsidRPr="003B2233">
        <w:footnoteRef/>
      </w:r>
      <w:r w:rsidR="007A1CE6">
        <w:t>.</w:t>
      </w:r>
      <w:r w:rsidR="001C20FF" w:rsidRPr="003B2233">
        <w:t xml:space="preserve"> </w:t>
      </w:r>
      <w:r w:rsidRPr="003B2233">
        <w:tab/>
      </w:r>
      <w:r w:rsidR="4B774E0D" w:rsidRPr="006B1B4B">
        <w:rPr>
          <w:i/>
        </w:rPr>
        <w:t>See</w:t>
      </w:r>
      <w:r w:rsidR="4B774E0D" w:rsidRPr="006B1B4B">
        <w:t xml:space="preserve"> Evelyn Douek, </w:t>
      </w:r>
      <w:r w:rsidR="4B774E0D" w:rsidRPr="006B1B4B">
        <w:rPr>
          <w:i/>
        </w:rPr>
        <w:t>Content Moderation as Systems Thinking</w:t>
      </w:r>
      <w:r w:rsidR="4B774E0D" w:rsidRPr="006B1B4B">
        <w:t xml:space="preserve">, 136 </w:t>
      </w:r>
      <w:r w:rsidR="4B774E0D" w:rsidRPr="006B1B4B">
        <w:rPr>
          <w:smallCaps/>
        </w:rPr>
        <w:t>Harv. L. Rev.</w:t>
      </w:r>
      <w:r w:rsidR="4B774E0D" w:rsidRPr="006B1B4B">
        <w:t xml:space="preserve"> 526, 536 (2022); Ashley Johnson &amp; Daniel Castro, </w:t>
      </w:r>
      <w:r w:rsidR="4B774E0D" w:rsidRPr="006B1B4B">
        <w:rPr>
          <w:i/>
        </w:rPr>
        <w:t>Proposals to Reform Section 230</w:t>
      </w:r>
      <w:r w:rsidR="4B774E0D" w:rsidRPr="006B1B4B">
        <w:t xml:space="preserve">, </w:t>
      </w:r>
      <w:r w:rsidR="4B774E0D" w:rsidRPr="006B1B4B">
        <w:rPr>
          <w:smallCaps/>
        </w:rPr>
        <w:t>Info. Tech. &amp; Innovation Found.</w:t>
      </w:r>
      <w:r w:rsidR="4B774E0D" w:rsidRPr="006B1B4B">
        <w:t xml:space="preserve"> (Feb. 22, 2021), </w:t>
      </w:r>
      <w:r w:rsidRPr="006B1B4B">
        <w:t>https://itif.org/publications/2021/02/22/proposals-reform-section-230</w:t>
      </w:r>
      <w:r w:rsidR="4B774E0D" w:rsidRPr="4B774E0D">
        <w:t xml:space="preserve"> </w:t>
      </w:r>
      <w:r w:rsidR="00045C26">
        <w:t>[</w:t>
      </w:r>
      <w:r w:rsidR="4B774E0D" w:rsidRPr="4B774E0D">
        <w:t>https://perma.cc/LE4B-VQ4K</w:t>
      </w:r>
      <w:r w:rsidR="00045C26">
        <w:t>]</w:t>
      </w:r>
      <w:r w:rsidR="4B774E0D" w:rsidRPr="006B1B4B">
        <w:t>.</w:t>
      </w:r>
    </w:p>
  </w:footnote>
  <w:footnote w:id="116">
    <w:p w14:paraId="299828CA" w14:textId="498A99F4" w:rsidR="0004402C" w:rsidRPr="0004402C" w:rsidRDefault="0004402C" w:rsidP="00923377">
      <w:pPr>
        <w:pStyle w:val="FootNotePara"/>
        <w:suppressAutoHyphens/>
      </w:pPr>
      <w:r w:rsidRPr="003B2233">
        <w:footnoteRef/>
      </w:r>
      <w:r w:rsidR="007A1CE6">
        <w:t>.</w:t>
      </w:r>
      <w:r w:rsidR="00206E9F">
        <w:t xml:space="preserve"> </w:t>
      </w:r>
      <w:r w:rsidR="4B774E0D" w:rsidRPr="006B1B4B">
        <w:t>There is also a purely political concern stemming from mostly conservative voices, who believe that §</w:t>
      </w:r>
      <w:r w:rsidR="006E13AA">
        <w:t> </w:t>
      </w:r>
      <w:r w:rsidR="4B774E0D" w:rsidRPr="006B1B4B">
        <w:t xml:space="preserve">230 allows platforms to moderate content in such a way that discriminates against conservatives. NYU School of Law, </w:t>
      </w:r>
      <w:r w:rsidR="4B774E0D" w:rsidRPr="006B1B4B">
        <w:rPr>
          <w:i/>
        </w:rPr>
        <w:t>Professor Christopher Jon Sprigman Discusses Section 230</w:t>
      </w:r>
      <w:r w:rsidR="4B774E0D" w:rsidRPr="006B1B4B">
        <w:t xml:space="preserve">, </w:t>
      </w:r>
      <w:r w:rsidR="4B774E0D" w:rsidRPr="006B1B4B">
        <w:rPr>
          <w:smallCaps/>
        </w:rPr>
        <w:t>YouTube</w:t>
      </w:r>
      <w:r w:rsidR="4B774E0D" w:rsidRPr="006B1B4B">
        <w:t xml:space="preserve"> (Feb. 19, 2021), </w:t>
      </w:r>
      <w:r w:rsidRPr="006B1B4B">
        <w:t>https://youtu.be/cF9PA2_lSgQ</w:t>
      </w:r>
      <w:r w:rsidR="4B774E0D" w:rsidRPr="4B774E0D">
        <w:t xml:space="preserve"> </w:t>
      </w:r>
      <w:r w:rsidR="003710C8">
        <w:t>[</w:t>
      </w:r>
      <w:r w:rsidR="4B774E0D" w:rsidRPr="4B774E0D">
        <w:t>https://perma.cc/ZRM4-8V62</w:t>
      </w:r>
      <w:r w:rsidR="003710C8">
        <w:t>]</w:t>
      </w:r>
      <w:r w:rsidR="4B774E0D" w:rsidRPr="006B1B4B">
        <w:t>.</w:t>
      </w:r>
    </w:p>
  </w:footnote>
  <w:footnote w:id="117">
    <w:p w14:paraId="4D61A69F" w14:textId="6008B813" w:rsidR="0004402C" w:rsidRPr="0004402C" w:rsidRDefault="0004402C" w:rsidP="00923377">
      <w:pPr>
        <w:pStyle w:val="FootNotePara"/>
        <w:suppressAutoHyphens/>
      </w:pPr>
      <w:r w:rsidRPr="003B2233">
        <w:footnoteRef/>
      </w:r>
      <w:r w:rsidR="007A1CE6">
        <w:t>.</w:t>
      </w:r>
      <w:r w:rsidR="00316C23" w:rsidRPr="003B2233">
        <w:t xml:space="preserve"> </w:t>
      </w:r>
      <w:r w:rsidR="4B774E0D" w:rsidRPr="006B1B4B">
        <w:t xml:space="preserve">Michel Ruffin &amp; Christof Ebert, </w:t>
      </w:r>
      <w:r w:rsidR="4B774E0D" w:rsidRPr="006B1B4B">
        <w:rPr>
          <w:i/>
        </w:rPr>
        <w:t>Using Open Source Software in Product Development: A Primer</w:t>
      </w:r>
      <w:r w:rsidR="4B774E0D" w:rsidRPr="006B1B4B">
        <w:t xml:space="preserve">, 21 </w:t>
      </w:r>
      <w:r w:rsidR="4B774E0D" w:rsidRPr="006B1B4B">
        <w:rPr>
          <w:smallCaps/>
        </w:rPr>
        <w:t>IEEE Software</w:t>
      </w:r>
      <w:r w:rsidR="4B774E0D" w:rsidRPr="006B1B4B">
        <w:t xml:space="preserve"> 82, 84 (2004).</w:t>
      </w:r>
    </w:p>
  </w:footnote>
  <w:footnote w:id="118">
    <w:p w14:paraId="3642086A" w14:textId="15BF1EAE" w:rsidR="0004402C" w:rsidRPr="0004402C" w:rsidRDefault="0004402C" w:rsidP="00923377">
      <w:pPr>
        <w:pStyle w:val="FootNotePara"/>
        <w:suppressAutoHyphens/>
        <w:jc w:val="left"/>
      </w:pPr>
      <w:r w:rsidRPr="003B2233">
        <w:footnoteRef/>
      </w:r>
      <w:r w:rsidR="007A1CE6">
        <w:rPr>
          <w:smallCaps/>
        </w:rPr>
        <w:t>.</w:t>
      </w:r>
      <w:r w:rsidR="005D0E0C">
        <w:rPr>
          <w:smallCaps/>
        </w:rPr>
        <w:t xml:space="preserve"> </w:t>
      </w:r>
      <w:r w:rsidR="005D0E0C" w:rsidRPr="002D3C07">
        <w:rPr>
          <w:i/>
        </w:rPr>
        <w:t>N</w:t>
      </w:r>
      <w:r w:rsidR="4B774E0D" w:rsidRPr="002D3C07">
        <w:rPr>
          <w:i/>
        </w:rPr>
        <w:t>ational Cybersecurity Strategy</w:t>
      </w:r>
      <w:r w:rsidR="4B774E0D" w:rsidRPr="006B1B4B">
        <w:t xml:space="preserve">, </w:t>
      </w:r>
      <w:r w:rsidRPr="006B1B4B">
        <w:rPr>
          <w:smallCaps/>
        </w:rPr>
        <w:t>The White House</w:t>
      </w:r>
      <w:r w:rsidR="4B774E0D" w:rsidRPr="006B1B4B">
        <w:t xml:space="preserve">, 3 (Mar. 1, 2023), </w:t>
      </w:r>
      <w:r w:rsidRPr="006B1B4B">
        <w:t>https://www.whitehouse.gov/wp-content/uploads/2023/03/National-Cybersecurity-Strategy-2023.pdf</w:t>
      </w:r>
      <w:r w:rsidR="4B774E0D" w:rsidRPr="4B774E0D">
        <w:t xml:space="preserve"> </w:t>
      </w:r>
      <w:r w:rsidR="005C2224">
        <w:t>[</w:t>
      </w:r>
      <w:r w:rsidR="4B774E0D" w:rsidRPr="4B774E0D">
        <w:t>https://perma.cc/H5BM-3U9C</w:t>
      </w:r>
      <w:r w:rsidR="005C2224">
        <w:t>]</w:t>
      </w:r>
      <w:r w:rsidR="4B774E0D" w:rsidRPr="006B1B4B">
        <w:t>.</w:t>
      </w:r>
    </w:p>
  </w:footnote>
  <w:footnote w:id="119">
    <w:p w14:paraId="1E499E81" w14:textId="265F6AD2" w:rsidR="0004402C" w:rsidRPr="0004402C" w:rsidRDefault="0004402C" w:rsidP="00923377">
      <w:pPr>
        <w:pStyle w:val="FootNotePara"/>
        <w:suppressAutoHyphens/>
      </w:pPr>
      <w:r w:rsidRPr="003B2233">
        <w:footnoteRef/>
      </w:r>
      <w:r w:rsidR="007A1CE6">
        <w:t>.</w:t>
      </w:r>
      <w:r w:rsidR="00A87CBC" w:rsidRPr="003B2233">
        <w:t xml:space="preserve"> </w:t>
      </w:r>
      <w:r w:rsidRPr="0004402C">
        <w:rPr>
          <w:i/>
          <w:iCs/>
        </w:rPr>
        <w:tab/>
      </w:r>
      <w:r w:rsidR="4B774E0D" w:rsidRPr="006B1B4B">
        <w:rPr>
          <w:i/>
        </w:rPr>
        <w:t>See</w:t>
      </w:r>
      <w:r w:rsidR="4B774E0D" w:rsidRPr="006B1B4B">
        <w:t xml:space="preserve"> Shelley McKinley, </w:t>
      </w:r>
      <w:r w:rsidR="4B774E0D" w:rsidRPr="006B1B4B">
        <w:rPr>
          <w:i/>
        </w:rPr>
        <w:t>Don’t Leave Developers Behind in the Section 230 Debate</w:t>
      </w:r>
      <w:r w:rsidR="4B774E0D" w:rsidRPr="006B1B4B">
        <w:t xml:space="preserve">, </w:t>
      </w:r>
      <w:r w:rsidR="4B774E0D" w:rsidRPr="006B1B4B">
        <w:rPr>
          <w:smallCaps/>
        </w:rPr>
        <w:t>TechCrunch</w:t>
      </w:r>
      <w:r w:rsidR="4B774E0D" w:rsidRPr="006B1B4B">
        <w:t xml:space="preserve"> (Feb. 26, 2023, 8:30 AM), </w:t>
      </w:r>
      <w:r w:rsidRPr="006B1B4B">
        <w:t>https://techcrunch.com/2023/02/26/dont-leave-developers-behind-in-the-section-230-debate</w:t>
      </w:r>
      <w:r w:rsidR="4B774E0D" w:rsidRPr="4B774E0D">
        <w:t xml:space="preserve"> </w:t>
      </w:r>
      <w:r w:rsidR="00E5152D">
        <w:t>[</w:t>
      </w:r>
      <w:r w:rsidR="4B774E0D" w:rsidRPr="4B774E0D">
        <w:t>https://perma.cc/WSL4-BPG8</w:t>
      </w:r>
      <w:r w:rsidR="00E5152D">
        <w:t>]</w:t>
      </w:r>
      <w:r w:rsidR="4B774E0D" w:rsidRPr="006B1B4B">
        <w:t>.</w:t>
      </w:r>
    </w:p>
  </w:footnote>
  <w:footnote w:id="120">
    <w:p w14:paraId="09528618" w14:textId="3591BB7A" w:rsidR="0004402C" w:rsidRPr="0004402C" w:rsidRDefault="0004402C" w:rsidP="00923377">
      <w:pPr>
        <w:pStyle w:val="FootNotePara"/>
        <w:suppressAutoHyphens/>
      </w:pPr>
      <w:r w:rsidRPr="003B2233">
        <w:footnoteRef/>
      </w:r>
      <w:r w:rsidR="007A1CE6">
        <w:t>.</w:t>
      </w:r>
      <w:r w:rsidR="00E519D7" w:rsidRPr="003B2233">
        <w:t xml:space="preserve"> </w:t>
      </w:r>
      <w:r w:rsidR="4B774E0D" w:rsidRPr="006B1B4B">
        <w:rPr>
          <w:i/>
        </w:rPr>
        <w:t>About CodeQL</w:t>
      </w:r>
      <w:r w:rsidR="4B774E0D" w:rsidRPr="006B1B4B">
        <w:t xml:space="preserve">, </w:t>
      </w:r>
      <w:r w:rsidR="4B774E0D" w:rsidRPr="006B1B4B">
        <w:rPr>
          <w:smallCaps/>
        </w:rPr>
        <w:t>GitHub</w:t>
      </w:r>
      <w:r w:rsidR="4B774E0D" w:rsidRPr="006B1B4B">
        <w:t xml:space="preserve">, </w:t>
      </w:r>
      <w:r w:rsidRPr="006B1B4B">
        <w:t>https://codeql.github.com/docs/codeql-overview/about-codeql</w:t>
      </w:r>
      <w:r w:rsidR="4B774E0D" w:rsidRPr="4B774E0D">
        <w:t xml:space="preserve"> </w:t>
      </w:r>
      <w:r w:rsidR="00E519D7">
        <w:t>[</w:t>
      </w:r>
      <w:r w:rsidR="4B774E0D" w:rsidRPr="4B774E0D">
        <w:t>https://perma.cc/AB6K-RPRB</w:t>
      </w:r>
      <w:r w:rsidR="00E519D7">
        <w:t>]</w:t>
      </w:r>
      <w:r w:rsidR="4B774E0D" w:rsidRPr="006B1B4B">
        <w:t xml:space="preserve"> (last visited May 15, 2023) (CodeQL performs its security checks using variant analysis, which involves “using a known security vulnerability as a seed to find similar problems in your code.”); Brief of Microsoft Corp. as Amicus Curiae in Support of Respondent at 29, Gonzalez v. Google, 598 U.S. 617 (2023) (No. 21-1333); McKinley, </w:t>
      </w:r>
      <w:r w:rsidR="4B774E0D" w:rsidRPr="006B1B4B">
        <w:rPr>
          <w:i/>
        </w:rPr>
        <w:t>supra</w:t>
      </w:r>
      <w:r w:rsidR="4B774E0D" w:rsidRPr="006B1B4B">
        <w:t xml:space="preserve"> note 11</w:t>
      </w:r>
      <w:r w:rsidR="00A64986">
        <w:t>7</w:t>
      </w:r>
      <w:r w:rsidR="4B774E0D" w:rsidRPr="006B1B4B">
        <w:t>.</w:t>
      </w:r>
    </w:p>
  </w:footnote>
  <w:footnote w:id="121">
    <w:p w14:paraId="3DEF0848" w14:textId="55C40EE7" w:rsidR="0004402C" w:rsidRPr="0004402C" w:rsidRDefault="0004402C" w:rsidP="00923377">
      <w:pPr>
        <w:pStyle w:val="FootNotePara"/>
        <w:suppressAutoHyphens/>
      </w:pPr>
      <w:r w:rsidRPr="003B2233">
        <w:footnoteRef/>
      </w:r>
      <w:r w:rsidR="007A1CE6">
        <w:t>.</w:t>
      </w:r>
      <w:r w:rsidR="00353D11" w:rsidRPr="003B2233">
        <w:t xml:space="preserve"> </w:t>
      </w:r>
      <w:r w:rsidRPr="0004402C">
        <w:rPr>
          <w:i/>
          <w:iCs/>
        </w:rPr>
        <w:tab/>
      </w:r>
      <w:r w:rsidR="4B774E0D" w:rsidRPr="006B1B4B">
        <w:rPr>
          <w:i/>
        </w:rPr>
        <w:t>See</w:t>
      </w:r>
      <w:r w:rsidR="4B774E0D" w:rsidRPr="006B1B4B">
        <w:t xml:space="preserve"> </w:t>
      </w:r>
      <w:r w:rsidR="4B774E0D" w:rsidRPr="006B1B4B">
        <w:rPr>
          <w:smallCaps/>
        </w:rPr>
        <w:t>Eghbal</w:t>
      </w:r>
      <w:r w:rsidR="4B774E0D" w:rsidRPr="006B1B4B">
        <w:t xml:space="preserve">, </w:t>
      </w:r>
      <w:r w:rsidR="4B774E0D" w:rsidRPr="006B1B4B">
        <w:rPr>
          <w:i/>
        </w:rPr>
        <w:t>supra</w:t>
      </w:r>
      <w:r w:rsidR="4B774E0D" w:rsidRPr="006B1B4B">
        <w:t xml:space="preserve"> note 45, at 95.</w:t>
      </w:r>
    </w:p>
  </w:footnote>
  <w:footnote w:id="122">
    <w:p w14:paraId="22B1BBFD" w14:textId="045897CC" w:rsidR="00083D5D" w:rsidRPr="002A1A29" w:rsidRDefault="0004402C" w:rsidP="00923377">
      <w:pPr>
        <w:pStyle w:val="FootNotePara"/>
        <w:suppressAutoHyphens/>
      </w:pPr>
      <w:r w:rsidRPr="003B2233">
        <w:footnoteRef/>
      </w:r>
      <w:r w:rsidR="007A1CE6">
        <w:t>.</w:t>
      </w:r>
      <w:r w:rsidR="00A7351E" w:rsidRPr="003B2233">
        <w:t xml:space="preserve"> </w:t>
      </w:r>
      <w:r w:rsidR="4B774E0D" w:rsidRPr="006B1B4B">
        <w:t xml:space="preserve">Robert Gorwa &amp; Michael Veale, </w:t>
      </w:r>
      <w:r w:rsidR="4B774E0D" w:rsidRPr="006B1B4B">
        <w:rPr>
          <w:i/>
        </w:rPr>
        <w:t xml:space="preserve">Moderating Model Marketplaces: Platform Governance Puzzles for AI </w:t>
      </w:r>
      <w:r w:rsidR="4B774E0D" w:rsidRPr="00083D5D">
        <w:t>Intermediaries</w:t>
      </w:r>
      <w:r w:rsidR="00083D5D">
        <w:t xml:space="preserve">, 16 </w:t>
      </w:r>
      <w:r w:rsidR="00083D5D" w:rsidRPr="00083D5D">
        <w:rPr>
          <w:smallCaps/>
        </w:rPr>
        <w:t>L., Innovation &amp; Tech.</w:t>
      </w:r>
      <w:r w:rsidR="00083D5D">
        <w:t xml:space="preserve"> 341</w:t>
      </w:r>
      <w:r w:rsidR="00CE0365">
        <w:t>, 343</w:t>
      </w:r>
      <w:r w:rsidR="4B774E0D" w:rsidRPr="006B1B4B">
        <w:t xml:space="preserve"> (</w:t>
      </w:r>
      <w:r w:rsidR="00CE0365">
        <w:t>2024</w:t>
      </w:r>
      <w:r w:rsidR="4B774E0D" w:rsidRPr="006B1B4B">
        <w:t>).</w:t>
      </w:r>
    </w:p>
  </w:footnote>
  <w:footnote w:id="123">
    <w:p w14:paraId="0631AB95" w14:textId="461DE7F6" w:rsidR="0004402C" w:rsidRPr="00B01D3F" w:rsidRDefault="0004402C" w:rsidP="00923377">
      <w:pPr>
        <w:pStyle w:val="FootNotePara"/>
        <w:suppressAutoHyphens/>
        <w:rPr>
          <w:iCs/>
        </w:rPr>
      </w:pPr>
      <w:r w:rsidRPr="003B2233">
        <w:footnoteRef/>
      </w:r>
      <w:r w:rsidR="007A1CE6">
        <w:t>.</w:t>
      </w:r>
      <w:r w:rsidR="00E37503" w:rsidRPr="003B2233">
        <w:t xml:space="preserve"> </w:t>
      </w:r>
      <w:r w:rsidR="4B774E0D" w:rsidRPr="006B1B4B">
        <w:rPr>
          <w:i/>
        </w:rPr>
        <w:t>Id.</w:t>
      </w:r>
      <w:r w:rsidR="00B01D3F">
        <w:t xml:space="preserve"> at 344.</w:t>
      </w:r>
    </w:p>
  </w:footnote>
  <w:footnote w:id="124">
    <w:p w14:paraId="3A9014B3" w14:textId="47D80AAA" w:rsidR="0004402C" w:rsidRPr="0004402C" w:rsidRDefault="0004402C" w:rsidP="00923377">
      <w:pPr>
        <w:pStyle w:val="FootNotePara"/>
        <w:suppressAutoHyphens/>
      </w:pPr>
      <w:r w:rsidRPr="003B2233">
        <w:footnoteRef/>
      </w:r>
      <w:r w:rsidR="007A1CE6">
        <w:t>.</w:t>
      </w:r>
      <w:r w:rsidR="00E37503" w:rsidRPr="003B2233">
        <w:t xml:space="preserve"> </w:t>
      </w:r>
      <w:r w:rsidRPr="003B2233">
        <w:tab/>
      </w:r>
      <w:r w:rsidR="4B774E0D" w:rsidRPr="006B1B4B">
        <w:rPr>
          <w:i/>
        </w:rPr>
        <w:t>Id.</w:t>
      </w:r>
      <w:r w:rsidR="4B774E0D" w:rsidRPr="004C0D0B">
        <w:t xml:space="preserve"> </w:t>
      </w:r>
      <w:r w:rsidR="4B774E0D" w:rsidRPr="006B1B4B">
        <w:t xml:space="preserve">at </w:t>
      </w:r>
      <w:r w:rsidR="004C0D0B">
        <w:t>34</w:t>
      </w:r>
      <w:r w:rsidR="4B774E0D" w:rsidRPr="006B1B4B">
        <w:t>4</w:t>
      </w:r>
      <w:r w:rsidR="00F65AC8">
        <w:t>–</w:t>
      </w:r>
      <w:r w:rsidR="004C0D0B">
        <w:t>4</w:t>
      </w:r>
      <w:r w:rsidR="4B774E0D" w:rsidRPr="006B1B4B">
        <w:t xml:space="preserve">5; Ben Lutkevich, </w:t>
      </w:r>
      <w:r w:rsidR="4B774E0D" w:rsidRPr="006B1B4B">
        <w:rPr>
          <w:i/>
        </w:rPr>
        <w:t>What is Hugging Face?</w:t>
      </w:r>
      <w:r w:rsidR="4B774E0D" w:rsidRPr="006B1B4B">
        <w:t xml:space="preserve">, </w:t>
      </w:r>
      <w:r w:rsidR="4B774E0D" w:rsidRPr="006B1B4B">
        <w:rPr>
          <w:smallCaps/>
        </w:rPr>
        <w:t>TechTarget</w:t>
      </w:r>
      <w:r w:rsidR="4B774E0D" w:rsidRPr="006B1B4B">
        <w:t xml:space="preserve"> (Sept. 2023), </w:t>
      </w:r>
      <w:r w:rsidRPr="006B1B4B">
        <w:t>https://www.techtarget.com/whatis/definition/Hugging-Face</w:t>
      </w:r>
      <w:r w:rsidR="4B774E0D" w:rsidRPr="4B774E0D">
        <w:t xml:space="preserve"> </w:t>
      </w:r>
      <w:r w:rsidR="00D76371">
        <w:t>[</w:t>
      </w:r>
      <w:r w:rsidR="4B774E0D" w:rsidRPr="4B774E0D">
        <w:t>https://perma.cc/Q4SW-3D38</w:t>
      </w:r>
      <w:r w:rsidR="00D76371">
        <w:t>]</w:t>
      </w:r>
      <w:r w:rsidR="4B774E0D" w:rsidRPr="006B1B4B">
        <w:t>.</w:t>
      </w:r>
    </w:p>
  </w:footnote>
  <w:footnote w:id="125">
    <w:p w14:paraId="4476D8E4" w14:textId="13192CCA" w:rsidR="0004402C" w:rsidRPr="0004402C" w:rsidRDefault="0004402C" w:rsidP="00923377">
      <w:pPr>
        <w:pStyle w:val="FootNotePara"/>
        <w:suppressAutoHyphens/>
      </w:pPr>
      <w:r w:rsidRPr="003B2233">
        <w:footnoteRef/>
      </w:r>
      <w:r w:rsidR="007A1CE6">
        <w:t>.</w:t>
      </w:r>
      <w:r w:rsidR="0085308A" w:rsidRPr="003B2233">
        <w:t xml:space="preserve"> </w:t>
      </w:r>
      <w:r w:rsidR="4B774E0D" w:rsidRPr="006B1B4B">
        <w:rPr>
          <w:i/>
        </w:rPr>
        <w:t>Repository Limitations and Recommendations</w:t>
      </w:r>
      <w:r w:rsidR="4B774E0D" w:rsidRPr="006B1B4B">
        <w:t xml:space="preserve">, </w:t>
      </w:r>
      <w:r w:rsidR="4B774E0D" w:rsidRPr="006B1B4B">
        <w:rPr>
          <w:smallCaps/>
        </w:rPr>
        <w:t>Hugging Face</w:t>
      </w:r>
      <w:r w:rsidR="4B774E0D" w:rsidRPr="006B1B4B">
        <w:t xml:space="preserve">, </w:t>
      </w:r>
      <w:r w:rsidRPr="006B1B4B">
        <w:t>https://huggingface.co/docs/hub/repositories-recommendations</w:t>
      </w:r>
      <w:r w:rsidR="4B774E0D" w:rsidRPr="4B774E0D">
        <w:t xml:space="preserve"> </w:t>
      </w:r>
      <w:r w:rsidR="00A43431">
        <w:t>[</w:t>
      </w:r>
      <w:r w:rsidR="4B774E0D" w:rsidRPr="4B774E0D">
        <w:t>https://perma.cc/A4BR-ZN5V</w:t>
      </w:r>
      <w:r w:rsidR="00A43431">
        <w:t>]</w:t>
      </w:r>
      <w:r w:rsidR="4B774E0D" w:rsidRPr="006B1B4B">
        <w:t xml:space="preserve"> (last visited Jan. 10, 2024); </w:t>
      </w:r>
      <w:r w:rsidR="4B774E0D" w:rsidRPr="006B1B4B">
        <w:rPr>
          <w:i/>
        </w:rPr>
        <w:t>About Large Files on GitHub</w:t>
      </w:r>
      <w:r w:rsidR="4B774E0D" w:rsidRPr="006B1B4B">
        <w:t xml:space="preserve">, </w:t>
      </w:r>
      <w:r w:rsidR="4B774E0D" w:rsidRPr="006B1B4B">
        <w:rPr>
          <w:smallCaps/>
        </w:rPr>
        <w:t>GitHub</w:t>
      </w:r>
      <w:r w:rsidR="4B774E0D" w:rsidRPr="006B1B4B">
        <w:t xml:space="preserve">, </w:t>
      </w:r>
      <w:r w:rsidRPr="006B1B4B">
        <w:t>https://docs.github.com/en/repositories/working-with-files/managing-large-files/about-large-files-on-github</w:t>
      </w:r>
      <w:r w:rsidR="4B774E0D" w:rsidRPr="4B774E0D">
        <w:t xml:space="preserve"> </w:t>
      </w:r>
      <w:r w:rsidR="00D73565">
        <w:t>[</w:t>
      </w:r>
      <w:r w:rsidR="4B774E0D" w:rsidRPr="4B774E0D">
        <w:t>https://perma.cc/V897-546J</w:t>
      </w:r>
      <w:r w:rsidR="00D73565">
        <w:t>]</w:t>
      </w:r>
      <w:r w:rsidR="4B774E0D" w:rsidRPr="006B1B4B">
        <w:t xml:space="preserve"> (last visited Jan. 10, 2024).</w:t>
      </w:r>
    </w:p>
  </w:footnote>
  <w:footnote w:id="126">
    <w:p w14:paraId="1E6B6FB5" w14:textId="55A0C101" w:rsidR="0004402C" w:rsidRPr="0004402C" w:rsidRDefault="0004402C" w:rsidP="00923377">
      <w:pPr>
        <w:pStyle w:val="FootNotePara"/>
        <w:suppressAutoHyphens/>
      </w:pPr>
      <w:r w:rsidRPr="003B2233">
        <w:footnoteRef/>
      </w:r>
      <w:r w:rsidR="007A1CE6">
        <w:t>.</w:t>
      </w:r>
      <w:r w:rsidR="00106F67" w:rsidRPr="003B2233">
        <w:t xml:space="preserve"> </w:t>
      </w:r>
      <w:r w:rsidR="4B774E0D" w:rsidRPr="006B1B4B">
        <w:t xml:space="preserve">Gorwa &amp; Veale, </w:t>
      </w:r>
      <w:r w:rsidR="4B774E0D" w:rsidRPr="006B1B4B">
        <w:rPr>
          <w:i/>
        </w:rPr>
        <w:t>supra</w:t>
      </w:r>
      <w:r w:rsidR="4B774E0D" w:rsidRPr="006B1B4B">
        <w:t xml:space="preserve"> note 1</w:t>
      </w:r>
      <w:r w:rsidR="00732E0E">
        <w:t>20</w:t>
      </w:r>
      <w:r w:rsidR="4B774E0D" w:rsidRPr="006B1B4B">
        <w:t xml:space="preserve">, at </w:t>
      </w:r>
      <w:r w:rsidR="00871344">
        <w:t>34</w:t>
      </w:r>
      <w:r w:rsidR="4B774E0D" w:rsidRPr="006B1B4B">
        <w:t>4.</w:t>
      </w:r>
    </w:p>
  </w:footnote>
  <w:footnote w:id="127">
    <w:p w14:paraId="1AA9342B" w14:textId="6FCAE42F" w:rsidR="0004402C" w:rsidRPr="0004402C" w:rsidRDefault="0004402C" w:rsidP="00923377">
      <w:pPr>
        <w:pStyle w:val="FootNotePara"/>
        <w:suppressAutoHyphens/>
      </w:pPr>
      <w:r w:rsidRPr="003B2233">
        <w:footnoteRef/>
      </w:r>
      <w:r w:rsidR="007A1CE6">
        <w:t>.</w:t>
      </w:r>
      <w:r w:rsidR="002E0FE7" w:rsidRPr="003B2233">
        <w:t xml:space="preserve"> </w:t>
      </w:r>
      <w:r w:rsidR="4B774E0D" w:rsidRPr="006B1B4B">
        <w:rPr>
          <w:i/>
        </w:rPr>
        <w:t>Id.</w:t>
      </w:r>
      <w:r w:rsidR="4B774E0D" w:rsidRPr="006B1B4B">
        <w:t xml:space="preserve"> at </w:t>
      </w:r>
      <w:r w:rsidR="008551F7">
        <w:t>345</w:t>
      </w:r>
      <w:r w:rsidR="008551F7" w:rsidRPr="006B1B4B">
        <w:t>–</w:t>
      </w:r>
      <w:r w:rsidR="008551F7">
        <w:t>46</w:t>
      </w:r>
      <w:r w:rsidR="4B774E0D" w:rsidRPr="006B1B4B">
        <w:t xml:space="preserve">, </w:t>
      </w:r>
      <w:r w:rsidR="006157B5">
        <w:t>357</w:t>
      </w:r>
      <w:r w:rsidR="4B774E0D" w:rsidRPr="006B1B4B">
        <w:t>.</w:t>
      </w:r>
    </w:p>
  </w:footnote>
  <w:footnote w:id="128">
    <w:p w14:paraId="68431F0C" w14:textId="719538BB" w:rsidR="0004402C" w:rsidRPr="0004402C" w:rsidRDefault="0004402C" w:rsidP="00923377">
      <w:pPr>
        <w:pStyle w:val="FootNotePara"/>
        <w:suppressAutoHyphens/>
      </w:pPr>
      <w:r w:rsidRPr="003B2233">
        <w:footnoteRef/>
      </w:r>
      <w:r w:rsidR="007A1CE6">
        <w:t>.</w:t>
      </w:r>
      <w:r w:rsidR="00D5332F" w:rsidRPr="003B2233">
        <w:t xml:space="preserve"> </w:t>
      </w:r>
      <w:r w:rsidR="4B774E0D" w:rsidRPr="006B1B4B">
        <w:rPr>
          <w:i/>
        </w:rPr>
        <w:t>Id.</w:t>
      </w:r>
      <w:r w:rsidR="4B774E0D" w:rsidRPr="006B1B4B">
        <w:t xml:space="preserve"> at </w:t>
      </w:r>
      <w:r w:rsidR="004B5279">
        <w:t>35</w:t>
      </w:r>
      <w:r w:rsidR="4B774E0D" w:rsidRPr="006B1B4B">
        <w:t>3–</w:t>
      </w:r>
      <w:r w:rsidR="006911FC">
        <w:t>5</w:t>
      </w:r>
      <w:r w:rsidR="003A2049">
        <w:t>5</w:t>
      </w:r>
      <w:r w:rsidR="4B774E0D" w:rsidRPr="006B1B4B">
        <w:t xml:space="preserve">; Masani Vartak, </w:t>
      </w:r>
      <w:r w:rsidR="4B774E0D" w:rsidRPr="006B1B4B">
        <w:rPr>
          <w:i/>
        </w:rPr>
        <w:t>Six Risks of Generative AI</w:t>
      </w:r>
      <w:r w:rsidR="4B774E0D" w:rsidRPr="006B1B4B">
        <w:t xml:space="preserve">, </w:t>
      </w:r>
      <w:r w:rsidR="4B774E0D" w:rsidRPr="006B1B4B">
        <w:rPr>
          <w:smallCaps/>
        </w:rPr>
        <w:t>Forbes</w:t>
      </w:r>
      <w:r w:rsidR="4B774E0D" w:rsidRPr="006B1B4B">
        <w:t xml:space="preserve"> (Jun. 29, 2023), </w:t>
      </w:r>
      <w:r w:rsidRPr="006B1B4B">
        <w:t>https://www.forbes.com/sites/forbestechcouncil/2023/06/29/six-risks-of-generative-ai</w:t>
      </w:r>
      <w:r w:rsidR="4B774E0D" w:rsidRPr="4B774E0D">
        <w:t xml:space="preserve"> </w:t>
      </w:r>
      <w:r w:rsidR="005A2072">
        <w:t>[</w:t>
      </w:r>
      <w:r w:rsidR="4B774E0D" w:rsidRPr="4B774E0D">
        <w:t>https://perma.cc/</w:t>
      </w:r>
      <w:r w:rsidR="00DD7B28">
        <w:t>FJ9D-4T5N</w:t>
      </w:r>
      <w:r w:rsidR="005A2072">
        <w:t>]</w:t>
      </w:r>
      <w:r w:rsidR="4B774E0D" w:rsidRPr="006B1B4B">
        <w:t>.</w:t>
      </w:r>
    </w:p>
  </w:footnote>
  <w:footnote w:id="129">
    <w:p w14:paraId="720B0FDC" w14:textId="1AD4DF59" w:rsidR="0004402C" w:rsidRPr="0004402C" w:rsidRDefault="0004402C" w:rsidP="00923377">
      <w:pPr>
        <w:pStyle w:val="FootNotePara"/>
        <w:suppressAutoHyphens/>
        <w:rPr>
          <w:i/>
          <w:iCs/>
        </w:rPr>
      </w:pPr>
      <w:r w:rsidRPr="003B2233">
        <w:footnoteRef/>
      </w:r>
      <w:r w:rsidR="007A1CE6">
        <w:t>.</w:t>
      </w:r>
      <w:r w:rsidR="00F84257" w:rsidRPr="003B2233">
        <w:t xml:space="preserve"> </w:t>
      </w:r>
      <w:r w:rsidR="4B774E0D" w:rsidRPr="006B1B4B">
        <w:t xml:space="preserve">Gorwa &amp; Veale, </w:t>
      </w:r>
      <w:r w:rsidR="4B774E0D" w:rsidRPr="006B1B4B">
        <w:rPr>
          <w:i/>
        </w:rPr>
        <w:t>supra</w:t>
      </w:r>
      <w:r w:rsidR="4B774E0D" w:rsidRPr="006B1B4B">
        <w:t xml:space="preserve"> note 1</w:t>
      </w:r>
      <w:r w:rsidR="00732E0E">
        <w:t>20</w:t>
      </w:r>
      <w:r w:rsidR="4B774E0D" w:rsidRPr="006B1B4B">
        <w:t xml:space="preserve">, at </w:t>
      </w:r>
      <w:r w:rsidR="003A2049">
        <w:t>35</w:t>
      </w:r>
      <w:r w:rsidR="003A2049" w:rsidRPr="006B1B4B">
        <w:t>3–</w:t>
      </w:r>
      <w:r w:rsidR="003A2049">
        <w:t>55</w:t>
      </w:r>
      <w:r w:rsidR="4B774E0D" w:rsidRPr="006B1B4B">
        <w:t>.</w:t>
      </w:r>
    </w:p>
  </w:footnote>
  <w:footnote w:id="130">
    <w:p w14:paraId="2D6C5878" w14:textId="2F8EF835" w:rsidR="0004402C" w:rsidRPr="0004402C" w:rsidRDefault="0004402C" w:rsidP="00923377">
      <w:pPr>
        <w:pStyle w:val="FootNotePara"/>
        <w:suppressAutoHyphens/>
      </w:pPr>
      <w:r w:rsidRPr="003B2233">
        <w:footnoteRef/>
      </w:r>
      <w:r w:rsidR="007A1CE6">
        <w:t>.</w:t>
      </w:r>
      <w:r w:rsidR="005B51E1" w:rsidRPr="003B2233">
        <w:t xml:space="preserve"> </w:t>
      </w:r>
      <w:r w:rsidRPr="003B2233">
        <w:tab/>
      </w:r>
      <w:r w:rsidR="4B774E0D" w:rsidRPr="006B1B4B">
        <w:rPr>
          <w:i/>
        </w:rPr>
        <w:t>Id.</w:t>
      </w:r>
      <w:r w:rsidR="4B774E0D" w:rsidRPr="006B1B4B">
        <w:t xml:space="preserve"> at </w:t>
      </w:r>
      <w:r w:rsidR="00C93567">
        <w:t>354.</w:t>
      </w:r>
    </w:p>
  </w:footnote>
  <w:footnote w:id="131">
    <w:p w14:paraId="308ABC80" w14:textId="3A06BD0A" w:rsidR="0004402C" w:rsidRPr="0004402C" w:rsidRDefault="0004402C" w:rsidP="00923377">
      <w:pPr>
        <w:pStyle w:val="FootNotePara"/>
        <w:suppressAutoHyphens/>
      </w:pPr>
      <w:r w:rsidRPr="003B2233">
        <w:footnoteRef/>
      </w:r>
      <w:r w:rsidR="007A1CE6">
        <w:t>.</w:t>
      </w:r>
      <w:r w:rsidR="005B51E1" w:rsidRPr="003B2233">
        <w:t xml:space="preserve"> </w:t>
      </w:r>
      <w:r w:rsidRPr="003B2233">
        <w:tab/>
      </w:r>
      <w:r w:rsidR="4B774E0D" w:rsidRPr="006B1B4B">
        <w:rPr>
          <w:i/>
        </w:rPr>
        <w:t>Id.</w:t>
      </w:r>
      <w:r w:rsidR="4B774E0D" w:rsidRPr="006B1B4B">
        <w:t xml:space="preserve"> at </w:t>
      </w:r>
      <w:r w:rsidR="00EE709B">
        <w:t>384</w:t>
      </w:r>
      <w:r w:rsidR="4B774E0D" w:rsidRPr="006B1B4B">
        <w:t>.</w:t>
      </w:r>
    </w:p>
  </w:footnote>
  <w:footnote w:id="132">
    <w:p w14:paraId="556E4A39" w14:textId="14F5A479" w:rsidR="0004402C" w:rsidRPr="0004402C" w:rsidRDefault="0004402C" w:rsidP="00923377">
      <w:pPr>
        <w:pStyle w:val="FootNotePara"/>
        <w:suppressAutoHyphens/>
      </w:pPr>
      <w:r w:rsidRPr="003B2233">
        <w:footnoteRef/>
      </w:r>
      <w:r w:rsidR="007A1CE6">
        <w:t>.</w:t>
      </w:r>
      <w:r w:rsidR="005B51E1" w:rsidRPr="003B2233">
        <w:t xml:space="preserve"> </w:t>
      </w:r>
      <w:r w:rsidRPr="0004402C">
        <w:rPr>
          <w:i/>
          <w:iCs/>
        </w:rPr>
        <w:tab/>
      </w:r>
      <w:r w:rsidR="4B774E0D" w:rsidRPr="006B1B4B">
        <w:rPr>
          <w:i/>
        </w:rPr>
        <w:t>Id.</w:t>
      </w:r>
      <w:r w:rsidR="4B774E0D" w:rsidRPr="006B1B4B">
        <w:t xml:space="preserve"> at </w:t>
      </w:r>
      <w:r w:rsidR="00712317">
        <w:t>379, 386</w:t>
      </w:r>
      <w:r w:rsidR="4B774E0D" w:rsidRPr="006B1B4B">
        <w:t xml:space="preserve">; </w:t>
      </w:r>
      <w:r w:rsidR="4B774E0D" w:rsidRPr="006B1B4B">
        <w:rPr>
          <w:i/>
        </w:rPr>
        <w:t>compare</w:t>
      </w:r>
      <w:r w:rsidR="4B774E0D" w:rsidRPr="006B1B4B">
        <w:t xml:space="preserve"> </w:t>
      </w:r>
      <w:r w:rsidR="4B774E0D" w:rsidRPr="006B1B4B">
        <w:rPr>
          <w:i/>
        </w:rPr>
        <w:t>Microsoft Acquires GitHub</w:t>
      </w:r>
      <w:r w:rsidR="4B774E0D" w:rsidRPr="006B1B4B">
        <w:t xml:space="preserve">, </w:t>
      </w:r>
      <w:r w:rsidR="4B774E0D" w:rsidRPr="006B1B4B">
        <w:rPr>
          <w:smallCaps/>
        </w:rPr>
        <w:t>Microsoft</w:t>
      </w:r>
      <w:r w:rsidR="4B774E0D" w:rsidRPr="006B1B4B">
        <w:t xml:space="preserve">, </w:t>
      </w:r>
      <w:r w:rsidRPr="006B1B4B">
        <w:t>https://news.microsoft.com/announcement/microsoft-acquires-github</w:t>
      </w:r>
      <w:r w:rsidR="4B774E0D" w:rsidRPr="4B774E0D">
        <w:t xml:space="preserve"> </w:t>
      </w:r>
      <w:r w:rsidR="00FE1BDF">
        <w:t>[</w:t>
      </w:r>
      <w:r w:rsidR="4B774E0D" w:rsidRPr="4B774E0D">
        <w:t>https://perma.cc/MSL9-NMSB</w:t>
      </w:r>
      <w:r w:rsidR="00FE1BDF">
        <w:t>]</w:t>
      </w:r>
      <w:r w:rsidR="4B774E0D" w:rsidRPr="006B1B4B">
        <w:t xml:space="preserve"> (last visited Oct. 25, 2024) (GitHub is a subsidiary of Microsoft), </w:t>
      </w:r>
      <w:r w:rsidR="4B774E0D" w:rsidRPr="006B1B4B">
        <w:rPr>
          <w:i/>
        </w:rPr>
        <w:t>and</w:t>
      </w:r>
      <w:r w:rsidR="4B774E0D" w:rsidRPr="006B1B4B">
        <w:t xml:space="preserve"> </w:t>
      </w:r>
      <w:r w:rsidR="4B774E0D" w:rsidRPr="006B1B4B">
        <w:rPr>
          <w:i/>
        </w:rPr>
        <w:t>Microsoft Corp</w:t>
      </w:r>
      <w:r w:rsidR="4B774E0D" w:rsidRPr="006B1B4B">
        <w:t xml:space="preserve">, </w:t>
      </w:r>
      <w:r w:rsidR="4B774E0D" w:rsidRPr="006B1B4B">
        <w:rPr>
          <w:smallCaps/>
        </w:rPr>
        <w:t>Google Finance</w:t>
      </w:r>
      <w:r w:rsidR="4B774E0D" w:rsidRPr="006B1B4B">
        <w:t xml:space="preserve">, https://www.google.com/finance/quote/MSFT:NASDAQ </w:t>
      </w:r>
      <w:r w:rsidR="00CC7DAE">
        <w:t>[</w:t>
      </w:r>
      <w:r w:rsidR="00C84CCD" w:rsidRPr="00C84CCD">
        <w:t>https://perma.cc/Z689-TCNY</w:t>
      </w:r>
      <w:r w:rsidR="00CC7DAE">
        <w:t>]</w:t>
      </w:r>
      <w:r w:rsidR="00C84CCD">
        <w:t xml:space="preserve"> </w:t>
      </w:r>
      <w:r w:rsidR="4B774E0D" w:rsidRPr="006B1B4B">
        <w:t xml:space="preserve">(last visited </w:t>
      </w:r>
      <w:r w:rsidR="00CC7DAE">
        <w:t>Jan</w:t>
      </w:r>
      <w:r w:rsidR="4B774E0D" w:rsidRPr="006B1B4B">
        <w:t xml:space="preserve">. </w:t>
      </w:r>
      <w:r w:rsidR="00CC7DAE">
        <w:t>18</w:t>
      </w:r>
      <w:r w:rsidR="4B774E0D" w:rsidRPr="006B1B4B">
        <w:t>, 202</w:t>
      </w:r>
      <w:r w:rsidR="00CC7DAE">
        <w:t>5</w:t>
      </w:r>
      <w:r w:rsidR="4B774E0D" w:rsidRPr="006B1B4B">
        <w:t>) (Microsoft has a market capitalization of $3.</w:t>
      </w:r>
      <w:r w:rsidR="0043397B">
        <w:t>19</w:t>
      </w:r>
      <w:r w:rsidR="4B774E0D" w:rsidRPr="006B1B4B">
        <w:t xml:space="preserve"> trillion, as of </w:t>
      </w:r>
      <w:r w:rsidR="0043397B">
        <w:t>Jan</w:t>
      </w:r>
      <w:r w:rsidR="4B774E0D" w:rsidRPr="006B1B4B">
        <w:t xml:space="preserve">. </w:t>
      </w:r>
      <w:r w:rsidR="0043397B">
        <w:t>18</w:t>
      </w:r>
      <w:r w:rsidR="4B774E0D" w:rsidRPr="006B1B4B">
        <w:t>, 202</w:t>
      </w:r>
      <w:r w:rsidR="0043397B">
        <w:t>5</w:t>
      </w:r>
      <w:r w:rsidR="4B774E0D" w:rsidRPr="006B1B4B">
        <w:t xml:space="preserve">), </w:t>
      </w:r>
      <w:r w:rsidR="4B774E0D" w:rsidRPr="006B1B4B">
        <w:rPr>
          <w:i/>
        </w:rPr>
        <w:t>with</w:t>
      </w:r>
      <w:r w:rsidR="4B774E0D" w:rsidRPr="006B1B4B">
        <w:t xml:space="preserve"> Kyle Wiggers, </w:t>
      </w:r>
      <w:r w:rsidR="4B774E0D" w:rsidRPr="006B1B4B">
        <w:rPr>
          <w:i/>
        </w:rPr>
        <w:t>Hugging Face Raises $235M from Investors, Including Salesforce and Nvidia</w:t>
      </w:r>
      <w:r w:rsidR="4B774E0D" w:rsidRPr="006B1B4B">
        <w:t xml:space="preserve">, </w:t>
      </w:r>
      <w:r w:rsidR="4B774E0D" w:rsidRPr="006B1B4B">
        <w:rPr>
          <w:smallCaps/>
        </w:rPr>
        <w:t>TechCrunch</w:t>
      </w:r>
      <w:r w:rsidR="4B774E0D" w:rsidRPr="006B1B4B">
        <w:t xml:space="preserve"> (Aug. 24, 2023, 10:00 AM), </w:t>
      </w:r>
      <w:r w:rsidRPr="006B1B4B">
        <w:t xml:space="preserve">https://techcrunch.com/2023/08/24/hugging-face-raises-235m-from-investors-including-salesforce-and-nvidia </w:t>
      </w:r>
      <w:r w:rsidR="007F779B">
        <w:t>[</w:t>
      </w:r>
      <w:r w:rsidR="4B774E0D" w:rsidRPr="4B774E0D">
        <w:t>https://perma.cc/54P9-TT9Q</w:t>
      </w:r>
      <w:r w:rsidR="007F779B">
        <w:t>]</w:t>
      </w:r>
      <w:r w:rsidR="4B774E0D" w:rsidRPr="4B774E0D">
        <w:t xml:space="preserve"> </w:t>
      </w:r>
      <w:r w:rsidR="4B774E0D" w:rsidRPr="006B1B4B">
        <w:t>(Hugging Face was valued at $4.5 billion in its last funding round).</w:t>
      </w:r>
    </w:p>
  </w:footnote>
  <w:footnote w:id="133">
    <w:p w14:paraId="032250BE" w14:textId="61636E2A" w:rsidR="0004402C" w:rsidRPr="006B1B4B" w:rsidRDefault="0004402C" w:rsidP="00923377">
      <w:pPr>
        <w:pStyle w:val="FootNotePara"/>
        <w:suppressAutoHyphens/>
        <w:rPr>
          <w:lang w:val="pl-PL"/>
        </w:rPr>
      </w:pPr>
      <w:r w:rsidRPr="003B2233">
        <w:footnoteRef/>
      </w:r>
      <w:r w:rsidR="007A1CE6">
        <w:t>.</w:t>
      </w:r>
      <w:r w:rsidR="00C1751C" w:rsidRPr="003B2233">
        <w:t xml:space="preserve"> </w:t>
      </w:r>
      <w:r w:rsidR="4B774E0D" w:rsidRPr="006B1B4B">
        <w:rPr>
          <w:i/>
        </w:rPr>
        <w:t>See</w:t>
      </w:r>
      <w:r w:rsidR="4B774E0D" w:rsidRPr="006B1B4B">
        <w:t xml:space="preserve"> Joe Mullin, </w:t>
      </w:r>
      <w:r w:rsidR="4B774E0D" w:rsidRPr="006B1B4B">
        <w:rPr>
          <w:i/>
        </w:rPr>
        <w:t>2021 Was the Year Lawmakers Tried to Regulate Online Speech</w:t>
      </w:r>
      <w:r w:rsidR="4B774E0D" w:rsidRPr="006B1B4B">
        <w:t xml:space="preserve">, </w:t>
      </w:r>
      <w:r w:rsidR="4B774E0D" w:rsidRPr="006B1B4B">
        <w:rPr>
          <w:smallCaps/>
        </w:rPr>
        <w:t>Elec. Frontier Found.</w:t>
      </w:r>
      <w:r w:rsidR="4B774E0D" w:rsidRPr="006B1B4B">
        <w:t xml:space="preserve"> (Dec. 26, 2021), </w:t>
      </w:r>
      <w:r w:rsidRPr="006B1B4B">
        <w:t>https://www.eff.org/deeplinks/2021/12/2021-was-year-lawmakers-tried-regulate-online-speech</w:t>
      </w:r>
      <w:r w:rsidR="4B774E0D" w:rsidRPr="4B774E0D">
        <w:t xml:space="preserve"> </w:t>
      </w:r>
      <w:r w:rsidR="005C5079">
        <w:t>[</w:t>
      </w:r>
      <w:r w:rsidR="4B774E0D" w:rsidRPr="4B774E0D">
        <w:t>https://perma.cc/TS8D-2CM4</w:t>
      </w:r>
      <w:r w:rsidR="005C5079">
        <w:t>]</w:t>
      </w:r>
      <w:r w:rsidR="4B774E0D" w:rsidRPr="006B1B4B">
        <w:t xml:space="preserve">; Aaron Mackey &amp; Joe Mullin, </w:t>
      </w:r>
      <w:r w:rsidR="4B774E0D" w:rsidRPr="006B1B4B">
        <w:rPr>
          <w:i/>
        </w:rPr>
        <w:t>The Battle For Online Speech Moved To U.S. Courts: 2022 in Review</w:t>
      </w:r>
      <w:r w:rsidR="4B774E0D" w:rsidRPr="006B1B4B">
        <w:t xml:space="preserve">, </w:t>
      </w:r>
      <w:r w:rsidR="4B774E0D" w:rsidRPr="006B1B4B">
        <w:rPr>
          <w:smallCaps/>
        </w:rPr>
        <w:t>Elec. Frontier Found.</w:t>
      </w:r>
      <w:r w:rsidR="4B774E0D" w:rsidRPr="006B1B4B">
        <w:t xml:space="preserve"> </w:t>
      </w:r>
      <w:r w:rsidR="4B774E0D" w:rsidRPr="006B1B4B">
        <w:rPr>
          <w:lang w:val="pl-PL"/>
        </w:rPr>
        <w:t xml:space="preserve">(Dec. 26, 2022), </w:t>
      </w:r>
      <w:r w:rsidRPr="006B1B4B">
        <w:rPr>
          <w:lang w:val="pl-PL"/>
        </w:rPr>
        <w:t>https://www.eff.org/deeplinks/2022/12/2022-battle-online-speech-moved-us-courts</w:t>
      </w:r>
      <w:r w:rsidR="4B774E0D" w:rsidRPr="4B774E0D">
        <w:rPr>
          <w:lang w:val="pl-PL"/>
        </w:rPr>
        <w:t xml:space="preserve"> </w:t>
      </w:r>
      <w:r w:rsidR="00C81F66">
        <w:rPr>
          <w:lang w:val="pl-PL"/>
        </w:rPr>
        <w:t>[</w:t>
      </w:r>
      <w:r w:rsidR="4B774E0D" w:rsidRPr="4B774E0D">
        <w:rPr>
          <w:lang w:val="pl-PL"/>
        </w:rPr>
        <w:t>https://perma.cc/DX98-DTHF</w:t>
      </w:r>
      <w:r w:rsidR="00C81F66">
        <w:rPr>
          <w:lang w:val="pl-PL"/>
        </w:rPr>
        <w:t>]</w:t>
      </w:r>
      <w:r w:rsidR="4B774E0D" w:rsidRPr="006B1B4B">
        <w:rPr>
          <w:lang w:val="pl-PL"/>
        </w:rPr>
        <w:t>.</w:t>
      </w:r>
    </w:p>
  </w:footnote>
  <w:footnote w:id="134">
    <w:p w14:paraId="568028F1" w14:textId="3026F3CB" w:rsidR="0004402C" w:rsidRPr="0004402C" w:rsidRDefault="0004402C" w:rsidP="00923377">
      <w:pPr>
        <w:pStyle w:val="FootNotePara"/>
        <w:suppressAutoHyphens/>
      </w:pPr>
      <w:r w:rsidRPr="003B2233">
        <w:footnoteRef/>
      </w:r>
      <w:r w:rsidR="007A1CE6">
        <w:t>.</w:t>
      </w:r>
      <w:r w:rsidR="00551F69" w:rsidRPr="003B2233">
        <w:t xml:space="preserve"> </w:t>
      </w:r>
      <w:r w:rsidR="4B774E0D" w:rsidRPr="006B1B4B">
        <w:rPr>
          <w:i/>
        </w:rPr>
        <w:t>See</w:t>
      </w:r>
      <w:r w:rsidR="4B774E0D" w:rsidRPr="006B1B4B">
        <w:t xml:space="preserve"> Kate Klonick, </w:t>
      </w:r>
      <w:r w:rsidR="4B774E0D" w:rsidRPr="006B1B4B">
        <w:rPr>
          <w:i/>
        </w:rPr>
        <w:t>The New Governors: The People, Rules, and Processes Governing Online Speech</w:t>
      </w:r>
      <w:r w:rsidR="4B774E0D" w:rsidRPr="006B1B4B">
        <w:t xml:space="preserve">, 131 </w:t>
      </w:r>
      <w:r w:rsidR="4B774E0D" w:rsidRPr="006B1B4B">
        <w:rPr>
          <w:smallCaps/>
        </w:rPr>
        <w:t>Harv. L. Rev.</w:t>
      </w:r>
      <w:r w:rsidR="4B774E0D" w:rsidRPr="006B1B4B">
        <w:t xml:space="preserve"> 1598, 1603</w:t>
      </w:r>
      <w:r w:rsidR="4B774E0D" w:rsidRPr="006B1B4B">
        <w:softHyphen/>
        <w:t xml:space="preserve">–04 (2018); Douek, </w:t>
      </w:r>
      <w:r w:rsidR="4B774E0D" w:rsidRPr="006B1B4B">
        <w:rPr>
          <w:i/>
        </w:rPr>
        <w:t>supra</w:t>
      </w:r>
      <w:r w:rsidR="4B774E0D" w:rsidRPr="006B1B4B">
        <w:t xml:space="preserve"> note 11</w:t>
      </w:r>
      <w:r w:rsidR="00EE60B2">
        <w:t>3</w:t>
      </w:r>
      <w:r w:rsidR="4B774E0D" w:rsidRPr="006B1B4B">
        <w:t>, at 535–36, 553.</w:t>
      </w:r>
    </w:p>
  </w:footnote>
  <w:footnote w:id="135">
    <w:p w14:paraId="0DAF8DEE" w14:textId="5A2DF543" w:rsidR="0004402C" w:rsidRPr="0004402C" w:rsidRDefault="0004402C" w:rsidP="00923377">
      <w:pPr>
        <w:pStyle w:val="FootNotePara"/>
        <w:suppressAutoHyphens/>
      </w:pPr>
      <w:r w:rsidRPr="003B2233">
        <w:footnoteRef/>
      </w:r>
      <w:r w:rsidR="007A1CE6">
        <w:t>.</w:t>
      </w:r>
      <w:r w:rsidR="000831FF" w:rsidRPr="003B2233">
        <w:t xml:space="preserve"> </w:t>
      </w:r>
      <w:r w:rsidR="4B774E0D" w:rsidRPr="006B1B4B">
        <w:t xml:space="preserve">Klonick, </w:t>
      </w:r>
      <w:r w:rsidR="4B774E0D" w:rsidRPr="006B1B4B">
        <w:rPr>
          <w:i/>
        </w:rPr>
        <w:t>supra</w:t>
      </w:r>
      <w:r w:rsidR="4B774E0D" w:rsidRPr="006B1B4B">
        <w:t xml:space="preserve"> note 13</w:t>
      </w:r>
      <w:r w:rsidR="002B3E9E">
        <w:t>2</w:t>
      </w:r>
      <w:r w:rsidR="4B774E0D" w:rsidRPr="006B1B4B">
        <w:t>, at 1641.</w:t>
      </w:r>
    </w:p>
  </w:footnote>
  <w:footnote w:id="136">
    <w:p w14:paraId="22E4AEEA" w14:textId="5F159625" w:rsidR="0004402C" w:rsidRPr="0004402C" w:rsidRDefault="0004402C" w:rsidP="00923377">
      <w:pPr>
        <w:pStyle w:val="FootNotePara"/>
        <w:suppressAutoHyphens/>
      </w:pPr>
      <w:r w:rsidRPr="003B2233">
        <w:footnoteRef/>
      </w:r>
      <w:r w:rsidR="007A1CE6">
        <w:t>.</w:t>
      </w:r>
      <w:r w:rsidR="000831FF" w:rsidRPr="003B2233">
        <w:t xml:space="preserve"> </w:t>
      </w:r>
      <w:r w:rsidRPr="003B2233">
        <w:tab/>
      </w:r>
      <w:r w:rsidR="4B774E0D" w:rsidRPr="006B1B4B">
        <w:rPr>
          <w:i/>
        </w:rPr>
        <w:t>Id.</w:t>
      </w:r>
      <w:r w:rsidR="4B774E0D" w:rsidRPr="006B1B4B">
        <w:t xml:space="preserve"> at 1648–49.</w:t>
      </w:r>
    </w:p>
  </w:footnote>
  <w:footnote w:id="137">
    <w:p w14:paraId="3A171D7A" w14:textId="61A70271" w:rsidR="0004402C" w:rsidRPr="0004402C" w:rsidRDefault="0004402C" w:rsidP="00923377">
      <w:pPr>
        <w:pStyle w:val="FootNotePara"/>
        <w:suppressAutoHyphens/>
      </w:pPr>
      <w:r w:rsidRPr="003B2233">
        <w:footnoteRef/>
      </w:r>
      <w:r w:rsidR="007A1CE6">
        <w:t>.</w:t>
      </w:r>
      <w:r w:rsidR="00AB2618" w:rsidRPr="003B2233">
        <w:t xml:space="preserve"> </w:t>
      </w:r>
      <w:r w:rsidRPr="0004402C">
        <w:tab/>
      </w:r>
      <w:r w:rsidR="4B774E0D" w:rsidRPr="006B1B4B">
        <w:rPr>
          <w:i/>
        </w:rPr>
        <w:t>Id.</w:t>
      </w:r>
      <w:r w:rsidR="4B774E0D" w:rsidRPr="006B1B4B">
        <w:t xml:space="preserve"> at 1663; Douek, </w:t>
      </w:r>
      <w:r w:rsidR="4B774E0D" w:rsidRPr="006B1B4B">
        <w:rPr>
          <w:i/>
        </w:rPr>
        <w:t>supra</w:t>
      </w:r>
      <w:r w:rsidR="4B774E0D" w:rsidRPr="006B1B4B">
        <w:t xml:space="preserve"> note 11</w:t>
      </w:r>
      <w:r w:rsidR="00A23CA8">
        <w:t>3</w:t>
      </w:r>
      <w:r w:rsidR="4B774E0D" w:rsidRPr="006B1B4B">
        <w:t>, at 537.</w:t>
      </w:r>
    </w:p>
  </w:footnote>
  <w:footnote w:id="138">
    <w:p w14:paraId="23D29C53" w14:textId="09E6430D" w:rsidR="0004402C" w:rsidRPr="0004402C" w:rsidRDefault="0004402C" w:rsidP="00923377">
      <w:pPr>
        <w:pStyle w:val="FootNotePara"/>
        <w:suppressAutoHyphens/>
      </w:pPr>
      <w:r w:rsidRPr="003B2233">
        <w:footnoteRef/>
      </w:r>
      <w:r w:rsidR="007A1CE6">
        <w:t>.</w:t>
      </w:r>
      <w:r w:rsidR="00DF66C7" w:rsidRPr="003B2233">
        <w:t xml:space="preserve"> </w:t>
      </w:r>
      <w:r w:rsidR="00DF66C7" w:rsidRPr="006B1B4B">
        <w:t>Klonick</w:t>
      </w:r>
      <w:r w:rsidR="4B774E0D" w:rsidRPr="006B1B4B">
        <w:t xml:space="preserve">, </w:t>
      </w:r>
      <w:r w:rsidR="4B774E0D" w:rsidRPr="006B1B4B">
        <w:rPr>
          <w:i/>
        </w:rPr>
        <w:t>supra</w:t>
      </w:r>
      <w:r w:rsidR="4B774E0D" w:rsidRPr="006B1B4B">
        <w:t xml:space="preserve"> note 13</w:t>
      </w:r>
      <w:r w:rsidR="0053535A">
        <w:t>2</w:t>
      </w:r>
      <w:r w:rsidR="4B774E0D" w:rsidRPr="006B1B4B">
        <w:t xml:space="preserve">, at 1663; </w:t>
      </w:r>
      <w:r w:rsidR="0053535A" w:rsidRPr="006B1B4B">
        <w:t xml:space="preserve">Douek, </w:t>
      </w:r>
      <w:r w:rsidR="0053535A" w:rsidRPr="006B1B4B">
        <w:rPr>
          <w:i/>
        </w:rPr>
        <w:t>supra</w:t>
      </w:r>
      <w:r w:rsidR="0053535A" w:rsidRPr="006B1B4B">
        <w:t xml:space="preserve"> note 11</w:t>
      </w:r>
      <w:r w:rsidR="0053535A">
        <w:t>3</w:t>
      </w:r>
      <w:r w:rsidR="0053535A" w:rsidRPr="006B1B4B">
        <w:t>, at 537</w:t>
      </w:r>
      <w:r w:rsidR="4B774E0D" w:rsidRPr="006B1B4B">
        <w:t>.</w:t>
      </w:r>
    </w:p>
  </w:footnote>
  <w:footnote w:id="139">
    <w:p w14:paraId="61C3EF2C" w14:textId="7EBBE8FE" w:rsidR="0004402C" w:rsidRPr="0004402C" w:rsidRDefault="0004402C" w:rsidP="00923377">
      <w:pPr>
        <w:pStyle w:val="FootNotePara"/>
        <w:suppressAutoHyphens/>
      </w:pPr>
      <w:r w:rsidRPr="003B2233">
        <w:footnoteRef/>
      </w:r>
      <w:r w:rsidR="007A1CE6">
        <w:t>.</w:t>
      </w:r>
      <w:r w:rsidR="003F1F62">
        <w:t xml:space="preserve"> </w:t>
      </w:r>
      <w:r w:rsidR="003F1F62" w:rsidRPr="006B1B4B">
        <w:t xml:space="preserve">Klonick, </w:t>
      </w:r>
      <w:r w:rsidR="003F1F62" w:rsidRPr="006B1B4B">
        <w:rPr>
          <w:i/>
        </w:rPr>
        <w:t>supra</w:t>
      </w:r>
      <w:r w:rsidR="003F1F62" w:rsidRPr="006B1B4B">
        <w:t xml:space="preserve"> note 13</w:t>
      </w:r>
      <w:r w:rsidR="003F1F62">
        <w:t>2</w:t>
      </w:r>
      <w:r w:rsidR="003F1F62" w:rsidRPr="006B1B4B">
        <w:t>, at 1663</w:t>
      </w:r>
      <w:r w:rsidR="00E60EEE" w:rsidRPr="006B1B4B">
        <w:t xml:space="preserve">; Douek, </w:t>
      </w:r>
      <w:r w:rsidR="00E60EEE" w:rsidRPr="006B1B4B">
        <w:rPr>
          <w:i/>
        </w:rPr>
        <w:t>supra</w:t>
      </w:r>
      <w:r w:rsidR="00E60EEE" w:rsidRPr="006B1B4B">
        <w:t xml:space="preserve"> note 11</w:t>
      </w:r>
      <w:r w:rsidR="00E60EEE">
        <w:t>3</w:t>
      </w:r>
      <w:r w:rsidR="00E60EEE" w:rsidRPr="006B1B4B">
        <w:t>, at 537.</w:t>
      </w:r>
    </w:p>
  </w:footnote>
  <w:footnote w:id="140">
    <w:p w14:paraId="34BB4EB7" w14:textId="00C7740E" w:rsidR="0004402C" w:rsidRPr="0004402C" w:rsidRDefault="0004402C" w:rsidP="00923377">
      <w:pPr>
        <w:pStyle w:val="FootNotePara"/>
        <w:suppressAutoHyphens/>
      </w:pPr>
      <w:r w:rsidRPr="003B2233">
        <w:footnoteRef/>
      </w:r>
      <w:r w:rsidR="007A1CE6">
        <w:t>.</w:t>
      </w:r>
      <w:r w:rsidR="002864BD" w:rsidRPr="003B2233">
        <w:t xml:space="preserve"> </w:t>
      </w:r>
      <w:r w:rsidR="00D03BDD" w:rsidRPr="006B1B4B">
        <w:t xml:space="preserve">Klonick, </w:t>
      </w:r>
      <w:r w:rsidR="00D03BDD" w:rsidRPr="006B1B4B">
        <w:rPr>
          <w:i/>
        </w:rPr>
        <w:t>supra</w:t>
      </w:r>
      <w:r w:rsidR="00D03BDD" w:rsidRPr="006B1B4B">
        <w:t xml:space="preserve"> note 13</w:t>
      </w:r>
      <w:r w:rsidR="00D03BDD">
        <w:t>2</w:t>
      </w:r>
      <w:r w:rsidR="00D03BDD" w:rsidRPr="006B1B4B">
        <w:t xml:space="preserve">, </w:t>
      </w:r>
      <w:r w:rsidR="4B774E0D" w:rsidRPr="006B1B4B">
        <w:t>at 1628, 1651, 1657.</w:t>
      </w:r>
    </w:p>
  </w:footnote>
  <w:footnote w:id="141">
    <w:p w14:paraId="10C79342" w14:textId="177BBB27" w:rsidR="0004402C" w:rsidRPr="0004402C" w:rsidRDefault="0004402C" w:rsidP="00923377">
      <w:pPr>
        <w:pStyle w:val="FootNotePara"/>
        <w:suppressAutoHyphens/>
      </w:pPr>
      <w:r w:rsidRPr="003B2233">
        <w:footnoteRef/>
      </w:r>
      <w:r w:rsidR="007A1CE6">
        <w:t>.</w:t>
      </w:r>
      <w:r w:rsidR="00BD3297" w:rsidRPr="003B2233">
        <w:t xml:space="preserve"> </w:t>
      </w:r>
      <w:r w:rsidR="4B774E0D" w:rsidRPr="006B1B4B">
        <w:t>47 U.S.C. §</w:t>
      </w:r>
      <w:r w:rsidR="006E13AA">
        <w:t> </w:t>
      </w:r>
      <w:r w:rsidR="4B774E0D" w:rsidRPr="006B1B4B">
        <w:t xml:space="preserve">230(c)(1); Klonick, </w:t>
      </w:r>
      <w:r w:rsidR="4B774E0D" w:rsidRPr="006B1B4B">
        <w:rPr>
          <w:i/>
        </w:rPr>
        <w:t>supra</w:t>
      </w:r>
      <w:r w:rsidR="4B774E0D" w:rsidRPr="006B1B4B">
        <w:t xml:space="preserve"> note 13</w:t>
      </w:r>
      <w:r w:rsidR="00DA427E">
        <w:t>2</w:t>
      </w:r>
      <w:r w:rsidR="4B774E0D" w:rsidRPr="006B1B4B">
        <w:t xml:space="preserve">, at </w:t>
      </w:r>
      <w:r w:rsidRPr="006B1B4B">
        <w:t>1604–05</w:t>
      </w:r>
      <w:r w:rsidR="4B774E0D" w:rsidRPr="006B1B4B">
        <w:t>. §</w:t>
      </w:r>
      <w:r w:rsidR="006E13AA">
        <w:t> </w:t>
      </w:r>
      <w:r w:rsidR="4B774E0D" w:rsidRPr="006B1B4B">
        <w:t xml:space="preserve">230(c)(1) was a reaction to </w:t>
      </w:r>
      <w:r w:rsidR="4B774E0D" w:rsidRPr="006B1B4B">
        <w:rPr>
          <w:i/>
        </w:rPr>
        <w:t>Stratton Oakmont, Inc. v. Prodigy Services Co.</w:t>
      </w:r>
      <w:r w:rsidR="4B774E0D" w:rsidRPr="006B1B4B">
        <w:t xml:space="preserve">, where the N.Y. Sup. Ct. held an online hosting site liable as a publisher for its users’ posts because it actively removed posts and had automatic software and guidelines for posting. </w:t>
      </w:r>
      <w:r w:rsidR="4B774E0D" w:rsidRPr="006B1B4B">
        <w:rPr>
          <w:i/>
        </w:rPr>
        <w:t>Stratton Oakmont</w:t>
      </w:r>
      <w:r w:rsidR="4B774E0D" w:rsidRPr="006B1B4B">
        <w:t xml:space="preserve"> would have disincentivized internet services from moderating content at all, an outcome that §</w:t>
      </w:r>
      <w:r w:rsidR="006E13AA">
        <w:t> </w:t>
      </w:r>
      <w:r w:rsidR="4B774E0D" w:rsidRPr="006B1B4B">
        <w:t>230 wanted to prevent</w:t>
      </w:r>
      <w:r w:rsidR="006134BB">
        <w:t>.</w:t>
      </w:r>
    </w:p>
  </w:footnote>
  <w:footnote w:id="142">
    <w:p w14:paraId="5368F71C" w14:textId="547E9735" w:rsidR="0004402C" w:rsidRPr="0004402C" w:rsidRDefault="0004402C" w:rsidP="00923377">
      <w:pPr>
        <w:pStyle w:val="FootNotePara"/>
        <w:suppressAutoHyphens/>
      </w:pPr>
      <w:r w:rsidRPr="003B2233">
        <w:footnoteRef/>
      </w:r>
      <w:r w:rsidR="007A1CE6">
        <w:t>.</w:t>
      </w:r>
      <w:r w:rsidR="008802B7" w:rsidRPr="003B2233">
        <w:t xml:space="preserve"> </w:t>
      </w:r>
      <w:r w:rsidR="4B774E0D" w:rsidRPr="006B1B4B">
        <w:t xml:space="preserve">Klonick, </w:t>
      </w:r>
      <w:r w:rsidR="4B774E0D" w:rsidRPr="006B1B4B">
        <w:rPr>
          <w:i/>
        </w:rPr>
        <w:t>supra</w:t>
      </w:r>
      <w:r w:rsidR="4B774E0D" w:rsidRPr="006B1B4B">
        <w:t xml:space="preserve"> note 13</w:t>
      </w:r>
      <w:r w:rsidR="0081428F">
        <w:t>2</w:t>
      </w:r>
      <w:r w:rsidR="4B774E0D" w:rsidRPr="006B1B4B">
        <w:t>, at 1625.</w:t>
      </w:r>
    </w:p>
  </w:footnote>
  <w:footnote w:id="143">
    <w:p w14:paraId="7CDCC67C" w14:textId="25D76D08" w:rsidR="0004402C" w:rsidRPr="0004402C" w:rsidRDefault="0004402C" w:rsidP="00923377">
      <w:pPr>
        <w:pStyle w:val="FootNotePara"/>
        <w:suppressAutoHyphens/>
      </w:pPr>
      <w:r w:rsidRPr="003B2233">
        <w:footnoteRef/>
      </w:r>
      <w:r w:rsidR="007A1CE6">
        <w:t>.</w:t>
      </w:r>
      <w:r w:rsidR="004E5F55" w:rsidRPr="003B2233">
        <w:t xml:space="preserve"> </w:t>
      </w:r>
      <w:r w:rsidRPr="0004402C">
        <w:rPr>
          <w:i/>
          <w:iCs/>
        </w:rPr>
        <w:tab/>
      </w:r>
      <w:r w:rsidR="4B774E0D" w:rsidRPr="006B1B4B">
        <w:rPr>
          <w:i/>
        </w:rPr>
        <w:t>Id.</w:t>
      </w:r>
      <w:r w:rsidR="4B774E0D" w:rsidRPr="006B1B4B">
        <w:t xml:space="preserve"> at 1626.</w:t>
      </w:r>
    </w:p>
  </w:footnote>
  <w:footnote w:id="144">
    <w:p w14:paraId="3CB770AB" w14:textId="541B4637" w:rsidR="0004402C" w:rsidRPr="0004402C" w:rsidRDefault="0004402C" w:rsidP="00923377">
      <w:pPr>
        <w:pStyle w:val="FootNotePara"/>
        <w:suppressAutoHyphens/>
      </w:pPr>
      <w:r w:rsidRPr="003B2233">
        <w:footnoteRef/>
      </w:r>
      <w:r w:rsidR="007A1CE6">
        <w:t>.</w:t>
      </w:r>
      <w:r w:rsidR="004E5F55" w:rsidRPr="003B2233">
        <w:t xml:space="preserve"> </w:t>
      </w:r>
      <w:r w:rsidRPr="0004402C">
        <w:tab/>
      </w:r>
      <w:r w:rsidR="4B774E0D" w:rsidRPr="006B1B4B">
        <w:t>47 U.S.C. §</w:t>
      </w:r>
      <w:r w:rsidR="00E0573E">
        <w:t> </w:t>
      </w:r>
      <w:r w:rsidR="4B774E0D" w:rsidRPr="006B1B4B">
        <w:t>230(c)(2)</w:t>
      </w:r>
      <w:r w:rsidRPr="006B1B4B">
        <w:t xml:space="preserve">; Klonick, </w:t>
      </w:r>
      <w:r w:rsidRPr="006B1B4B">
        <w:rPr>
          <w:i/>
        </w:rPr>
        <w:t>supra</w:t>
      </w:r>
      <w:r w:rsidRPr="006B1B4B">
        <w:t xml:space="preserve"> note 13</w:t>
      </w:r>
      <w:r w:rsidR="00EF2E90">
        <w:t>2</w:t>
      </w:r>
      <w:r w:rsidRPr="006B1B4B">
        <w:t xml:space="preserve">, at 1605. </w:t>
      </w:r>
      <w:r w:rsidR="4B774E0D" w:rsidRPr="006B1B4B">
        <w:t>Thus, both §</w:t>
      </w:r>
      <w:r w:rsidR="00E0573E">
        <w:t> </w:t>
      </w:r>
      <w:r w:rsidR="4B774E0D" w:rsidRPr="006B1B4B">
        <w:t>230(c)(1) and §</w:t>
      </w:r>
      <w:r w:rsidR="00E0573E">
        <w:t> </w:t>
      </w:r>
      <w:r w:rsidR="4B774E0D" w:rsidRPr="006B1B4B">
        <w:t>230(c)(2) immunize platforms from liability: one from user-generated content, and the other from moderating that content</w:t>
      </w:r>
      <w:r w:rsidRPr="006B1B4B">
        <w:t>.</w:t>
      </w:r>
      <w:r w:rsidR="4B774E0D" w:rsidRPr="006B1B4B">
        <w:t xml:space="preserve"> These sections reflect the dual purposes of §</w:t>
      </w:r>
      <w:r w:rsidR="006E13AA">
        <w:t> </w:t>
      </w:r>
      <w:r w:rsidR="4B774E0D" w:rsidRPr="006B1B4B">
        <w:t>230: to ensure free speech by preventing over-removal of content and risk collateral censorship, but also to encourage the creation of safe environments for speech online</w:t>
      </w:r>
      <w:r w:rsidRPr="006B1B4B">
        <w:t>.</w:t>
      </w:r>
    </w:p>
  </w:footnote>
  <w:footnote w:id="145">
    <w:p w14:paraId="646A2011" w14:textId="071E7C62" w:rsidR="0004402C" w:rsidRPr="0004402C" w:rsidRDefault="0004402C" w:rsidP="00923377">
      <w:pPr>
        <w:pStyle w:val="FootNotePara"/>
        <w:suppressAutoHyphens/>
      </w:pPr>
      <w:r w:rsidRPr="003B2233">
        <w:footnoteRef/>
      </w:r>
      <w:r w:rsidR="00062834">
        <w:t>.</w:t>
      </w:r>
      <w:r w:rsidR="004E5F55" w:rsidRPr="003B2233">
        <w:t xml:space="preserve"> </w:t>
      </w:r>
      <w:r w:rsidRPr="0004402C">
        <w:tab/>
      </w:r>
      <w:r w:rsidR="4B774E0D" w:rsidRPr="006B1B4B">
        <w:t xml:space="preserve">Klonick, </w:t>
      </w:r>
      <w:r w:rsidR="4B774E0D" w:rsidRPr="006B1B4B">
        <w:rPr>
          <w:i/>
        </w:rPr>
        <w:t>supra</w:t>
      </w:r>
      <w:r w:rsidR="4B774E0D" w:rsidRPr="006B1B4B">
        <w:t xml:space="preserve"> note 13</w:t>
      </w:r>
      <w:r w:rsidR="0081428F">
        <w:t>2</w:t>
      </w:r>
      <w:r w:rsidR="4B774E0D" w:rsidRPr="006B1B4B">
        <w:t>, at 1627.</w:t>
      </w:r>
    </w:p>
  </w:footnote>
  <w:footnote w:id="146">
    <w:p w14:paraId="565D251C" w14:textId="017881F6" w:rsidR="0004402C" w:rsidRPr="0004402C" w:rsidRDefault="0004402C" w:rsidP="00923377">
      <w:pPr>
        <w:pStyle w:val="FootNotePara"/>
        <w:suppressAutoHyphens/>
      </w:pPr>
      <w:r w:rsidRPr="003B2233">
        <w:footnoteRef/>
      </w:r>
      <w:r w:rsidR="00062834">
        <w:t>.</w:t>
      </w:r>
      <w:r w:rsidR="004E5F55" w:rsidRPr="003B2233">
        <w:t xml:space="preserve"> </w:t>
      </w:r>
      <w:r w:rsidR="4B774E0D" w:rsidRPr="006B1B4B">
        <w:rPr>
          <w:i/>
        </w:rPr>
        <w:t>Id.</w:t>
      </w:r>
    </w:p>
  </w:footnote>
  <w:footnote w:id="147">
    <w:p w14:paraId="4E658374" w14:textId="102BF591" w:rsidR="0004402C" w:rsidRPr="0004402C" w:rsidRDefault="0004402C" w:rsidP="00923377">
      <w:pPr>
        <w:pStyle w:val="FootNotePara"/>
        <w:suppressAutoHyphens/>
      </w:pPr>
      <w:r w:rsidRPr="003B2233">
        <w:footnoteRef/>
      </w:r>
      <w:r w:rsidR="00062834">
        <w:t>.</w:t>
      </w:r>
      <w:r w:rsidR="004E5F55" w:rsidRPr="003B2233">
        <w:t xml:space="preserve"> </w:t>
      </w:r>
      <w:r w:rsidRPr="0004402C">
        <w:rPr>
          <w:i/>
          <w:iCs/>
        </w:rPr>
        <w:tab/>
      </w:r>
      <w:r w:rsidR="4B774E0D" w:rsidRPr="006B1B4B">
        <w:rPr>
          <w:i/>
        </w:rPr>
        <w:t>Id.</w:t>
      </w:r>
      <w:r w:rsidR="4B774E0D" w:rsidRPr="006B1B4B">
        <w:t xml:space="preserve"> at 1615.</w:t>
      </w:r>
    </w:p>
  </w:footnote>
  <w:footnote w:id="148">
    <w:p w14:paraId="2770E2A4" w14:textId="3D480D1D" w:rsidR="0004402C" w:rsidRPr="0004402C" w:rsidRDefault="0004402C" w:rsidP="00923377">
      <w:pPr>
        <w:pStyle w:val="FootNotePara"/>
        <w:suppressAutoHyphens/>
      </w:pPr>
      <w:r w:rsidRPr="003B2233">
        <w:footnoteRef/>
      </w:r>
      <w:r w:rsidR="00062834">
        <w:t>.</w:t>
      </w:r>
      <w:r w:rsidR="004E5F55" w:rsidRPr="003B2233">
        <w:t xml:space="preserve"> </w:t>
      </w:r>
      <w:r w:rsidRPr="003B2233">
        <w:tab/>
      </w:r>
      <w:r w:rsidR="4B774E0D" w:rsidRPr="006B1B4B">
        <w:rPr>
          <w:i/>
        </w:rPr>
        <w:t>Id.</w:t>
      </w:r>
      <w:r w:rsidR="4B774E0D" w:rsidRPr="006B1B4B">
        <w:t xml:space="preserve"> at 1667.</w:t>
      </w:r>
    </w:p>
  </w:footnote>
  <w:footnote w:id="149">
    <w:p w14:paraId="30B37DD4" w14:textId="479514B4" w:rsidR="0004402C" w:rsidRPr="0004402C" w:rsidRDefault="0004402C" w:rsidP="00923377">
      <w:pPr>
        <w:pStyle w:val="FootNotePara"/>
        <w:suppressAutoHyphens/>
      </w:pPr>
      <w:r w:rsidRPr="003B2233">
        <w:footnoteRef/>
      </w:r>
      <w:r w:rsidR="00062834">
        <w:t>.</w:t>
      </w:r>
      <w:r w:rsidR="004E5F55" w:rsidRPr="003B2233">
        <w:t xml:space="preserve"> </w:t>
      </w:r>
      <w:r w:rsidR="4B774E0D" w:rsidRPr="006B1B4B">
        <w:t xml:space="preserve">McKinley, </w:t>
      </w:r>
      <w:r w:rsidR="4B774E0D" w:rsidRPr="006B1B4B">
        <w:rPr>
          <w:i/>
        </w:rPr>
        <w:t>supra</w:t>
      </w:r>
      <w:r w:rsidR="4B774E0D" w:rsidRPr="006B1B4B">
        <w:t xml:space="preserve"> note 11</w:t>
      </w:r>
      <w:r w:rsidR="003E2B9B">
        <w:t>7</w:t>
      </w:r>
      <w:r w:rsidR="4B774E0D" w:rsidRPr="006B1B4B">
        <w:t>.</w:t>
      </w:r>
    </w:p>
  </w:footnote>
  <w:footnote w:id="150">
    <w:p w14:paraId="70EEF618" w14:textId="0A2BA63C" w:rsidR="0004402C" w:rsidRPr="0004402C" w:rsidRDefault="0004402C" w:rsidP="00923377">
      <w:pPr>
        <w:pStyle w:val="FootNotePara"/>
        <w:suppressAutoHyphens/>
      </w:pPr>
      <w:r w:rsidRPr="003B2233">
        <w:footnoteRef/>
      </w:r>
      <w:r w:rsidR="00062834">
        <w:t>.</w:t>
      </w:r>
      <w:r w:rsidR="00035AD5" w:rsidRPr="003B2233">
        <w:t xml:space="preserve"> </w:t>
      </w:r>
      <w:r w:rsidR="4B774E0D" w:rsidRPr="006B1B4B">
        <w:rPr>
          <w:i/>
        </w:rPr>
        <w:t>Id.</w:t>
      </w:r>
    </w:p>
  </w:footnote>
  <w:footnote w:id="151">
    <w:p w14:paraId="1A63ECE2" w14:textId="4086B071" w:rsidR="0004402C" w:rsidRPr="0004402C" w:rsidRDefault="0004402C" w:rsidP="00923377">
      <w:pPr>
        <w:pStyle w:val="FootNotePara"/>
        <w:suppressAutoHyphens/>
      </w:pPr>
      <w:r w:rsidRPr="003B2233">
        <w:footnoteRef/>
      </w:r>
      <w:r w:rsidR="00062834">
        <w:t>.</w:t>
      </w:r>
      <w:r w:rsidR="007F6C43" w:rsidRPr="003B2233">
        <w:t xml:space="preserve"> </w:t>
      </w:r>
      <w:r w:rsidR="007F6C43" w:rsidRPr="007F6C43">
        <w:t>Brief for Change.org et al. as Amici Curiae Supporting Appellants at 26, Hassell v. Bird, 5 Cal.5th 522 (2018) (No. S235968).</w:t>
      </w:r>
    </w:p>
  </w:footnote>
  <w:footnote w:id="152">
    <w:p w14:paraId="06835ED1" w14:textId="2EB3634A" w:rsidR="0004402C" w:rsidRPr="0004402C" w:rsidRDefault="0004402C" w:rsidP="00923377">
      <w:pPr>
        <w:pStyle w:val="FootNotePara"/>
        <w:suppressAutoHyphens/>
      </w:pPr>
      <w:r w:rsidRPr="003B2233">
        <w:footnoteRef/>
      </w:r>
      <w:r w:rsidR="00062834">
        <w:t>.</w:t>
      </w:r>
      <w:r w:rsidR="00C770E8" w:rsidRPr="003B2233">
        <w:t xml:space="preserve"> </w:t>
      </w:r>
      <w:r w:rsidR="4B774E0D" w:rsidRPr="006B1B4B">
        <w:t xml:space="preserve">Ashley Johnson &amp; Daniel Castro, </w:t>
      </w:r>
      <w:r w:rsidR="4B774E0D" w:rsidRPr="006B1B4B">
        <w:rPr>
          <w:i/>
        </w:rPr>
        <w:t>Proposals to Reform Section 230</w:t>
      </w:r>
      <w:r w:rsidR="4B774E0D" w:rsidRPr="006B1B4B">
        <w:t xml:space="preserve">, </w:t>
      </w:r>
      <w:r w:rsidR="4B774E0D" w:rsidRPr="006B1B4B">
        <w:rPr>
          <w:smallCaps/>
        </w:rPr>
        <w:t>Info. Tech. &amp; Innovation Found.</w:t>
      </w:r>
      <w:r w:rsidR="4B774E0D" w:rsidRPr="006B1B4B">
        <w:t xml:space="preserve"> (Feb. 22, 2021), </w:t>
      </w:r>
      <w:r w:rsidRPr="006B1B4B">
        <w:t>https://itif.org/publications/2021/02/22/proposals-reform-section-230</w:t>
      </w:r>
      <w:r w:rsidR="4B774E0D" w:rsidRPr="4B774E0D">
        <w:t xml:space="preserve"> </w:t>
      </w:r>
      <w:r w:rsidR="002A0892">
        <w:t>[</w:t>
      </w:r>
      <w:r w:rsidR="4B774E0D" w:rsidRPr="4B774E0D">
        <w:t>https://perma.cc/LE4B-VQ4K</w:t>
      </w:r>
      <w:r w:rsidR="002A0892">
        <w:t>]</w:t>
      </w:r>
      <w:r w:rsidR="4B774E0D" w:rsidRPr="006B1B4B">
        <w:t>.</w:t>
      </w:r>
    </w:p>
  </w:footnote>
  <w:footnote w:id="153">
    <w:p w14:paraId="78D91AB0" w14:textId="06288A20" w:rsidR="0004402C" w:rsidRPr="0004402C" w:rsidRDefault="0004402C" w:rsidP="00923377">
      <w:pPr>
        <w:pStyle w:val="FootNotePara"/>
        <w:suppressAutoHyphens/>
      </w:pPr>
      <w:r w:rsidRPr="003B2233">
        <w:footnoteRef/>
      </w:r>
      <w:r w:rsidR="00062834">
        <w:t>.</w:t>
      </w:r>
      <w:r w:rsidR="00E6320E" w:rsidRPr="003B2233">
        <w:t xml:space="preserve"> </w:t>
      </w:r>
      <w:r w:rsidR="4B774E0D" w:rsidRPr="006B1B4B">
        <w:t>H.R. 874, 117th Cong. (2021).</w:t>
      </w:r>
    </w:p>
  </w:footnote>
  <w:footnote w:id="154">
    <w:p w14:paraId="3BE1DCEE" w14:textId="13F05639" w:rsidR="0004402C" w:rsidRPr="0004402C" w:rsidRDefault="0004402C" w:rsidP="00923377">
      <w:pPr>
        <w:pStyle w:val="FootNotePara"/>
        <w:suppressAutoHyphens/>
      </w:pPr>
      <w:r w:rsidRPr="003B2233">
        <w:footnoteRef/>
      </w:r>
      <w:r w:rsidR="00062834">
        <w:t>.</w:t>
      </w:r>
      <w:r w:rsidR="00E6320E" w:rsidRPr="003B2233">
        <w:t xml:space="preserve"> </w:t>
      </w:r>
      <w:r w:rsidRPr="0004402C">
        <w:tab/>
      </w:r>
      <w:r w:rsidR="4B774E0D" w:rsidRPr="006B1B4B">
        <w:t>S. 3983, 116th Cong. (2020).</w:t>
      </w:r>
    </w:p>
  </w:footnote>
  <w:footnote w:id="155">
    <w:p w14:paraId="62E56E33" w14:textId="5DAB6937" w:rsidR="0004402C" w:rsidRPr="0004402C" w:rsidRDefault="0004402C" w:rsidP="00923377">
      <w:pPr>
        <w:pStyle w:val="FootNotePara"/>
        <w:suppressAutoHyphens/>
      </w:pPr>
      <w:r w:rsidRPr="003B2233">
        <w:footnoteRef/>
      </w:r>
      <w:r w:rsidR="00062834">
        <w:t>.</w:t>
      </w:r>
      <w:r w:rsidR="00E6320E" w:rsidRPr="003B2233">
        <w:t xml:space="preserve"> </w:t>
      </w:r>
      <w:r w:rsidR="4B774E0D" w:rsidRPr="006B1B4B">
        <w:rPr>
          <w:i/>
        </w:rPr>
        <w:t>Id.</w:t>
      </w:r>
    </w:p>
  </w:footnote>
  <w:footnote w:id="156">
    <w:p w14:paraId="16C18F45" w14:textId="504AB916" w:rsidR="0004402C" w:rsidRPr="0004402C" w:rsidRDefault="0004402C" w:rsidP="00923377">
      <w:pPr>
        <w:pStyle w:val="FootNotePara"/>
        <w:suppressAutoHyphens/>
      </w:pPr>
      <w:r w:rsidRPr="003B2233">
        <w:footnoteRef/>
      </w:r>
      <w:r w:rsidR="00062834">
        <w:t>.</w:t>
      </w:r>
      <w:r w:rsidR="00E6320E" w:rsidRPr="003B2233">
        <w:t xml:space="preserve"> </w:t>
      </w:r>
      <w:r w:rsidRPr="0004402C">
        <w:tab/>
      </w:r>
      <w:r w:rsidR="4B774E0D" w:rsidRPr="006B1B4B">
        <w:t>S. 560, 118th Cong. (2023).</w:t>
      </w:r>
    </w:p>
  </w:footnote>
  <w:footnote w:id="157">
    <w:p w14:paraId="1AA1FD65" w14:textId="599F5347" w:rsidR="0004402C" w:rsidRPr="0004402C" w:rsidRDefault="0004402C" w:rsidP="00923377">
      <w:pPr>
        <w:pStyle w:val="FootNotePara"/>
        <w:suppressAutoHyphens/>
      </w:pPr>
      <w:r w:rsidRPr="003B2233">
        <w:footnoteRef/>
      </w:r>
      <w:r w:rsidR="00062834">
        <w:t>.</w:t>
      </w:r>
      <w:r w:rsidR="00E6320E" w:rsidRPr="003B2233">
        <w:t xml:space="preserve"> </w:t>
      </w:r>
      <w:r w:rsidRPr="0004402C">
        <w:tab/>
      </w:r>
      <w:r w:rsidR="4B774E0D" w:rsidRPr="006B1B4B">
        <w:t>H.R. 492, 116th Cong. (2019).</w:t>
      </w:r>
    </w:p>
  </w:footnote>
  <w:footnote w:id="158">
    <w:p w14:paraId="5382CF6D" w14:textId="59096CC9" w:rsidR="0004402C" w:rsidRPr="0004402C" w:rsidRDefault="0004402C" w:rsidP="00923377">
      <w:pPr>
        <w:pStyle w:val="FootNotePara"/>
        <w:suppressAutoHyphens/>
      </w:pPr>
      <w:r w:rsidRPr="003B2233">
        <w:footnoteRef/>
      </w:r>
      <w:r w:rsidR="00062834">
        <w:t>.</w:t>
      </w:r>
      <w:r w:rsidR="00A97056" w:rsidRPr="003B2233">
        <w:t xml:space="preserve"> </w:t>
      </w:r>
      <w:r w:rsidRPr="006B1B4B">
        <w:t>H.R. 8515</w:t>
      </w:r>
      <w:r w:rsidR="4B774E0D" w:rsidRPr="006B1B4B">
        <w:t>, 116th Cong. (2020).</w:t>
      </w:r>
    </w:p>
  </w:footnote>
  <w:footnote w:id="159">
    <w:p w14:paraId="5C5C6A3A" w14:textId="37A53C5C" w:rsidR="0004402C" w:rsidRPr="0004402C" w:rsidRDefault="0004402C" w:rsidP="00923377">
      <w:pPr>
        <w:pStyle w:val="FootNotePara"/>
        <w:suppressAutoHyphens/>
      </w:pPr>
      <w:r w:rsidRPr="003B2233">
        <w:footnoteRef/>
      </w:r>
      <w:r w:rsidR="00062834">
        <w:t>.</w:t>
      </w:r>
      <w:r w:rsidR="00C15ADF">
        <w:t xml:space="preserve"> </w:t>
      </w:r>
      <w:r w:rsidR="4B774E0D" w:rsidRPr="006B1B4B">
        <w:t>H.R. 8922, 116th Cong. (2020).</w:t>
      </w:r>
    </w:p>
  </w:footnote>
  <w:footnote w:id="160">
    <w:p w14:paraId="606426E8" w14:textId="113BA13C" w:rsidR="0004402C" w:rsidRPr="0004402C" w:rsidRDefault="0004402C" w:rsidP="00923377">
      <w:pPr>
        <w:pStyle w:val="FootNotePara"/>
        <w:suppressAutoHyphens/>
      </w:pPr>
      <w:r w:rsidRPr="003B2233">
        <w:footnoteRef/>
      </w:r>
      <w:r w:rsidR="00062834">
        <w:t>.</w:t>
      </w:r>
      <w:r w:rsidR="00424822" w:rsidRPr="003B2233">
        <w:t xml:space="preserve"> </w:t>
      </w:r>
      <w:r w:rsidR="4B774E0D" w:rsidRPr="006B1B4B">
        <w:t>S. 4337, 116th Cong. (2020).</w:t>
      </w:r>
    </w:p>
  </w:footnote>
  <w:footnote w:id="161">
    <w:p w14:paraId="7D358B70" w14:textId="7372ABF4" w:rsidR="0004402C" w:rsidRPr="0004402C" w:rsidRDefault="0004402C" w:rsidP="00923377">
      <w:pPr>
        <w:pStyle w:val="FootNotePara"/>
        <w:suppressAutoHyphens/>
      </w:pPr>
      <w:r w:rsidRPr="003B2233">
        <w:footnoteRef/>
      </w:r>
      <w:r w:rsidR="00062834">
        <w:t>.</w:t>
      </w:r>
      <w:r w:rsidR="00424822" w:rsidRPr="003B2233">
        <w:t xml:space="preserve"> </w:t>
      </w:r>
      <w:r w:rsidRPr="0004402C">
        <w:tab/>
      </w:r>
      <w:r w:rsidR="4B774E0D" w:rsidRPr="006B1B4B">
        <w:t>S. 483, 118th Cong. (2023).</w:t>
      </w:r>
    </w:p>
  </w:footnote>
  <w:footnote w:id="162">
    <w:p w14:paraId="0A333CE1" w14:textId="161D0C6F" w:rsidR="0004402C" w:rsidRPr="0004402C" w:rsidRDefault="0004402C" w:rsidP="00923377">
      <w:pPr>
        <w:pStyle w:val="FootNotePara"/>
        <w:suppressAutoHyphens/>
      </w:pPr>
      <w:r w:rsidRPr="003B2233">
        <w:footnoteRef/>
      </w:r>
      <w:r w:rsidR="00062834">
        <w:t>.</w:t>
      </w:r>
      <w:r w:rsidR="00424822" w:rsidRPr="003B2233">
        <w:t xml:space="preserve"> </w:t>
      </w:r>
      <w:r w:rsidRPr="003B2233">
        <w:tab/>
      </w:r>
      <w:r w:rsidR="4B774E0D" w:rsidRPr="006B1B4B">
        <w:t xml:space="preserve">Francis Fukuyama &amp; Andrew Grotto, </w:t>
      </w:r>
      <w:r w:rsidR="4B774E0D" w:rsidRPr="006B1B4B">
        <w:rPr>
          <w:i/>
        </w:rPr>
        <w:t>Comparative Media Regulation in the United States and Europe</w:t>
      </w:r>
      <w:r w:rsidR="4B774E0D" w:rsidRPr="006B1B4B">
        <w:t xml:space="preserve">, </w:t>
      </w:r>
      <w:r w:rsidR="4B774E0D" w:rsidRPr="006B1B4B">
        <w:rPr>
          <w:i/>
        </w:rPr>
        <w:t>in</w:t>
      </w:r>
      <w:r w:rsidR="4B774E0D" w:rsidRPr="006B1B4B">
        <w:t xml:space="preserve"> </w:t>
      </w:r>
      <w:r w:rsidR="4B774E0D" w:rsidRPr="006B1B4B">
        <w:rPr>
          <w:smallCaps/>
        </w:rPr>
        <w:t>Social Media and Democracy: The State of the Field and Prospects for Reform</w:t>
      </w:r>
      <w:r w:rsidR="4B774E0D" w:rsidRPr="006B1B4B">
        <w:t xml:space="preserve"> 199, 208 (Nathaniel Persily &amp; Joshua A, Tucker eds., 2020).</w:t>
      </w:r>
    </w:p>
  </w:footnote>
  <w:footnote w:id="163">
    <w:p w14:paraId="6AB33A82" w14:textId="6FF7F273" w:rsidR="0004402C" w:rsidRPr="0004402C" w:rsidRDefault="0004402C" w:rsidP="00923377">
      <w:pPr>
        <w:pStyle w:val="FootNotePara"/>
        <w:suppressAutoHyphens/>
      </w:pPr>
      <w:r w:rsidRPr="003B2233">
        <w:footnoteRef/>
      </w:r>
      <w:r w:rsidR="00062834">
        <w:t>.</w:t>
      </w:r>
      <w:r w:rsidR="007704EA" w:rsidRPr="003B2233">
        <w:t xml:space="preserve"> </w:t>
      </w:r>
      <w:r w:rsidRPr="0004402C">
        <w:tab/>
      </w:r>
      <w:r w:rsidRPr="006B1B4B">
        <w:t xml:space="preserve">Directive </w:t>
      </w:r>
      <w:r w:rsidR="4B774E0D" w:rsidRPr="006B1B4B">
        <w:t>2000/31</w:t>
      </w:r>
      <w:r w:rsidRPr="006B1B4B">
        <w:t xml:space="preserve">/EC </w:t>
      </w:r>
      <w:r w:rsidR="4B774E0D" w:rsidRPr="006B1B4B">
        <w:t>of the European Parliament and of the Council of 8 June 2000 on certain legal aspects of information society services, in particular electronic commerce</w:t>
      </w:r>
      <w:r w:rsidRPr="006B1B4B">
        <w:t xml:space="preserve">, in the Internal Market (‘Directive on electronic commerce’), </w:t>
      </w:r>
      <w:r w:rsidR="4B774E0D" w:rsidRPr="006B1B4B">
        <w:t>2000 O.J. (L 178) 1, 2 [hereinafter</w:t>
      </w:r>
      <w:r w:rsidRPr="00CF2CFE">
        <w:t xml:space="preserve"> </w:t>
      </w:r>
      <w:r w:rsidR="4B774E0D" w:rsidRPr="006B1B4B">
        <w:rPr>
          <w:i/>
        </w:rPr>
        <w:t>e-Commerce Directive</w:t>
      </w:r>
      <w:r w:rsidR="4B774E0D" w:rsidRPr="006B1B4B">
        <w:t>].</w:t>
      </w:r>
    </w:p>
  </w:footnote>
  <w:footnote w:id="164">
    <w:p w14:paraId="78D884F5" w14:textId="6438BEAE" w:rsidR="0004402C" w:rsidRPr="006B1B4B" w:rsidRDefault="0004402C" w:rsidP="00923377">
      <w:pPr>
        <w:pStyle w:val="FootNotePara"/>
        <w:suppressAutoHyphens/>
        <w:rPr>
          <w:lang w:val="da-DK"/>
        </w:rPr>
      </w:pPr>
      <w:r w:rsidRPr="003B2233">
        <w:footnoteRef/>
      </w:r>
      <w:r w:rsidR="00062834">
        <w:t>.</w:t>
      </w:r>
      <w:r w:rsidR="007278DF" w:rsidRPr="003B2233">
        <w:t xml:space="preserve"> </w:t>
      </w:r>
      <w:r w:rsidRPr="006B1B4B">
        <w:rPr>
          <w:i/>
          <w:iCs/>
          <w:lang w:val="da-DK"/>
        </w:rPr>
        <w:tab/>
      </w:r>
      <w:r w:rsidR="4B774E0D" w:rsidRPr="006B1B4B">
        <w:rPr>
          <w:i/>
          <w:lang w:val="da-DK"/>
        </w:rPr>
        <w:t>Id.</w:t>
      </w:r>
      <w:r w:rsidR="4B774E0D" w:rsidRPr="006B1B4B">
        <w:rPr>
          <w:lang w:val="da-DK"/>
        </w:rPr>
        <w:t xml:space="preserve"> at 10–12.</w:t>
      </w:r>
    </w:p>
  </w:footnote>
  <w:footnote w:id="165">
    <w:p w14:paraId="2571B540" w14:textId="7DE8BA1C" w:rsidR="0004402C" w:rsidRPr="006B1B4B" w:rsidRDefault="0004402C" w:rsidP="00923377">
      <w:pPr>
        <w:pStyle w:val="FootNotePara"/>
        <w:suppressAutoHyphens/>
        <w:rPr>
          <w:lang w:val="da-DK"/>
        </w:rPr>
      </w:pPr>
      <w:r w:rsidRPr="003B2233">
        <w:footnoteRef/>
      </w:r>
      <w:r w:rsidR="00062834">
        <w:t>.</w:t>
      </w:r>
      <w:r w:rsidR="006F3C99" w:rsidRPr="003B2233">
        <w:t xml:space="preserve"> </w:t>
      </w:r>
      <w:r w:rsidR="4B774E0D" w:rsidRPr="006B1B4B">
        <w:rPr>
          <w:i/>
          <w:lang w:val="da-DK"/>
        </w:rPr>
        <w:t>Id.</w:t>
      </w:r>
      <w:r w:rsidR="4B774E0D" w:rsidRPr="006B1B4B">
        <w:rPr>
          <w:lang w:val="da-DK"/>
        </w:rPr>
        <w:t xml:space="preserve"> at 12–13.</w:t>
      </w:r>
    </w:p>
  </w:footnote>
  <w:footnote w:id="166">
    <w:p w14:paraId="164310AD" w14:textId="44F81FCC" w:rsidR="0004402C" w:rsidRPr="006B1B4B" w:rsidRDefault="0004402C" w:rsidP="00923377">
      <w:pPr>
        <w:pStyle w:val="FootNotePara"/>
        <w:suppressAutoHyphens/>
        <w:rPr>
          <w:lang w:val="da-DK"/>
        </w:rPr>
      </w:pPr>
      <w:r w:rsidRPr="003B2233">
        <w:footnoteRef/>
      </w:r>
      <w:r w:rsidR="00062834">
        <w:t>.</w:t>
      </w:r>
      <w:r w:rsidR="006F3C99" w:rsidRPr="003B2233">
        <w:t xml:space="preserve"> </w:t>
      </w:r>
      <w:r w:rsidR="4B774E0D" w:rsidRPr="006B1B4B">
        <w:rPr>
          <w:i/>
          <w:lang w:val="da-DK"/>
        </w:rPr>
        <w:t>Id.</w:t>
      </w:r>
      <w:r w:rsidR="4B774E0D" w:rsidRPr="006B1B4B">
        <w:rPr>
          <w:lang w:val="da-DK"/>
        </w:rPr>
        <w:t xml:space="preserve"> at 13.</w:t>
      </w:r>
    </w:p>
  </w:footnote>
  <w:footnote w:id="167">
    <w:p w14:paraId="25E367B5" w14:textId="15284552" w:rsidR="0004402C" w:rsidRPr="0004402C" w:rsidRDefault="0004402C" w:rsidP="00923377">
      <w:pPr>
        <w:pStyle w:val="FootNotePara"/>
        <w:suppressAutoHyphens/>
      </w:pPr>
      <w:r w:rsidRPr="003B2233">
        <w:footnoteRef/>
      </w:r>
      <w:r w:rsidR="00062834">
        <w:t>.</w:t>
      </w:r>
      <w:r w:rsidR="006F3C99" w:rsidRPr="003B2233">
        <w:t xml:space="preserve"> </w:t>
      </w:r>
      <w:r w:rsidR="4B774E0D" w:rsidRPr="006B1B4B">
        <w:rPr>
          <w:i/>
        </w:rPr>
        <w:t>Id.</w:t>
      </w:r>
    </w:p>
  </w:footnote>
  <w:footnote w:id="168">
    <w:p w14:paraId="200E60B3" w14:textId="2971FDF4" w:rsidR="0004402C" w:rsidRPr="0004402C" w:rsidRDefault="0004402C" w:rsidP="00923377">
      <w:pPr>
        <w:pStyle w:val="FootNotePara"/>
        <w:suppressAutoHyphens/>
      </w:pPr>
      <w:r w:rsidRPr="003B2233">
        <w:footnoteRef/>
      </w:r>
      <w:r w:rsidR="00062834">
        <w:t>.</w:t>
      </w:r>
      <w:r w:rsidR="006F3C99" w:rsidRPr="003B2233">
        <w:t xml:space="preserve"> </w:t>
      </w:r>
      <w:r w:rsidRPr="0004402C">
        <w:tab/>
      </w:r>
      <w:r w:rsidRPr="006B1B4B">
        <w:t xml:space="preserve">Regulation </w:t>
      </w:r>
      <w:r w:rsidR="4B774E0D" w:rsidRPr="006B1B4B">
        <w:t xml:space="preserve">2022/2065, of the European Parliament and of the Council of 19 October 2022 on a Single Market For Digital Services and amending Directive 2000/31/EC, 2022 O.J. (L 277) 1, 4 [hereinafter </w:t>
      </w:r>
      <w:r w:rsidR="4B774E0D" w:rsidRPr="006B1B4B">
        <w:rPr>
          <w:i/>
        </w:rPr>
        <w:t>DSA</w:t>
      </w:r>
      <w:r w:rsidR="4B774E0D" w:rsidRPr="006B1B4B">
        <w:t>];</w:t>
      </w:r>
      <w:r w:rsidR="00184A0C">
        <w:t xml:space="preserve"> </w:t>
      </w:r>
      <w:r w:rsidR="00184A0C">
        <w:rPr>
          <w:i/>
        </w:rPr>
        <w:t>see also</w:t>
      </w:r>
      <w:r w:rsidR="4B774E0D" w:rsidRPr="006B1B4B">
        <w:t xml:space="preserve"> Martin Husovec &amp; Irene Roche Laguna, </w:t>
      </w:r>
      <w:r w:rsidR="00184A0C">
        <w:rPr>
          <w:i/>
        </w:rPr>
        <w:t>Overview of the DSA</w:t>
      </w:r>
      <w:r w:rsidR="4B774E0D" w:rsidRPr="006B1B4B">
        <w:t xml:space="preserve">, </w:t>
      </w:r>
      <w:r w:rsidR="4B774E0D" w:rsidRPr="006B1B4B">
        <w:rPr>
          <w:i/>
        </w:rPr>
        <w:t>in</w:t>
      </w:r>
      <w:r w:rsidR="4B774E0D" w:rsidRPr="006B1B4B">
        <w:t xml:space="preserve"> </w:t>
      </w:r>
      <w:r w:rsidR="4B774E0D" w:rsidRPr="006B1B4B">
        <w:rPr>
          <w:smallCaps/>
        </w:rPr>
        <w:t xml:space="preserve">Principles of the Digital Services Act </w:t>
      </w:r>
      <w:r w:rsidR="00C15ADF">
        <w:rPr>
          <w:smallCaps/>
        </w:rPr>
        <w:t xml:space="preserve">19, 19 </w:t>
      </w:r>
      <w:r w:rsidR="4B774E0D" w:rsidRPr="006B1B4B">
        <w:rPr>
          <w:smallCaps/>
        </w:rPr>
        <w:t>(2024)</w:t>
      </w:r>
      <w:r w:rsidR="4B774E0D" w:rsidRPr="006B1B4B">
        <w:t>.</w:t>
      </w:r>
    </w:p>
  </w:footnote>
  <w:footnote w:id="169">
    <w:p w14:paraId="62A0739D" w14:textId="3E5A4E13" w:rsidR="0004402C" w:rsidRPr="0004402C" w:rsidRDefault="0004402C" w:rsidP="00923377">
      <w:pPr>
        <w:pStyle w:val="FootNotePara"/>
        <w:suppressAutoHyphens/>
      </w:pPr>
      <w:r w:rsidRPr="003B2233">
        <w:footnoteRef/>
      </w:r>
      <w:r w:rsidR="00062834">
        <w:t>.</w:t>
      </w:r>
      <w:r w:rsidR="006F3C99" w:rsidRPr="003B2233">
        <w:t xml:space="preserve"> </w:t>
      </w:r>
      <w:r w:rsidRPr="0004402C">
        <w:tab/>
      </w:r>
      <w:r w:rsidR="4B774E0D" w:rsidRPr="006B1B4B">
        <w:t xml:space="preserve">Husovec &amp; Laguna, </w:t>
      </w:r>
      <w:r w:rsidR="4B774E0D" w:rsidRPr="006B1B4B">
        <w:rPr>
          <w:i/>
        </w:rPr>
        <w:t>supra</w:t>
      </w:r>
      <w:r w:rsidR="4B774E0D" w:rsidRPr="006B1B4B">
        <w:t xml:space="preserve"> note 16</w:t>
      </w:r>
      <w:r w:rsidR="0052292E">
        <w:t>6</w:t>
      </w:r>
      <w:r w:rsidR="00C15ADF">
        <w:t xml:space="preserve">, </w:t>
      </w:r>
      <w:r w:rsidR="003E633C">
        <w:t>a</w:t>
      </w:r>
      <w:r w:rsidR="00F90FE5">
        <w:t>t</w:t>
      </w:r>
      <w:r w:rsidR="003E633C">
        <w:t xml:space="preserve"> 19</w:t>
      </w:r>
      <w:r w:rsidR="4B774E0D" w:rsidRPr="006B1B4B">
        <w:t>.</w:t>
      </w:r>
    </w:p>
  </w:footnote>
  <w:footnote w:id="170">
    <w:p w14:paraId="40803DE7" w14:textId="747818BF" w:rsidR="0004402C" w:rsidRPr="0004402C" w:rsidRDefault="0004402C" w:rsidP="00923377">
      <w:pPr>
        <w:pStyle w:val="FootNotePara"/>
        <w:suppressAutoHyphens/>
      </w:pPr>
      <w:r w:rsidRPr="003B2233">
        <w:footnoteRef/>
      </w:r>
      <w:r w:rsidR="00062834">
        <w:t>.</w:t>
      </w:r>
      <w:r w:rsidR="006F3C99" w:rsidRPr="003B2233">
        <w:t xml:space="preserve"> </w:t>
      </w:r>
      <w:r w:rsidR="4B774E0D" w:rsidRPr="006B1B4B">
        <w:rPr>
          <w:i/>
        </w:rPr>
        <w:t>Id.</w:t>
      </w:r>
    </w:p>
  </w:footnote>
  <w:footnote w:id="171">
    <w:p w14:paraId="12D3A807" w14:textId="05C86930" w:rsidR="0004402C" w:rsidRPr="0080192B" w:rsidRDefault="0004402C" w:rsidP="00923377">
      <w:pPr>
        <w:pStyle w:val="FootNotePara"/>
        <w:suppressAutoHyphens/>
      </w:pPr>
      <w:r w:rsidRPr="003B2233">
        <w:footnoteRef/>
      </w:r>
      <w:r w:rsidR="00062834">
        <w:t>.</w:t>
      </w:r>
      <w:r w:rsidR="004624A7" w:rsidRPr="003B2233">
        <w:t xml:space="preserve"> </w:t>
      </w:r>
      <w:r w:rsidRPr="003B2233">
        <w:tab/>
      </w:r>
      <w:r w:rsidR="4B774E0D" w:rsidRPr="0080192B">
        <w:rPr>
          <w:i/>
        </w:rPr>
        <w:t>Id.</w:t>
      </w:r>
      <w:r w:rsidR="4B774E0D" w:rsidRPr="0080192B">
        <w:t xml:space="preserve"> </w:t>
      </w:r>
      <w:r w:rsidR="00EF6F38" w:rsidRPr="0080192B">
        <w:t xml:space="preserve">at </w:t>
      </w:r>
      <w:r w:rsidR="00055C85" w:rsidRPr="0080192B">
        <w:t>22</w:t>
      </w:r>
      <w:r w:rsidR="00055C85" w:rsidRPr="0080192B">
        <w:rPr>
          <w:lang w:val="da-DK"/>
        </w:rPr>
        <w:t>–24</w:t>
      </w:r>
      <w:r w:rsidR="00EF6F38" w:rsidRPr="0080192B">
        <w:t xml:space="preserve">. </w:t>
      </w:r>
      <w:r w:rsidRPr="0080192B">
        <w:t>M</w:t>
      </w:r>
      <w:r w:rsidR="4B774E0D" w:rsidRPr="0080192B">
        <w:t>ere conduit services are those such as internet access providers, Wi-Fi providers, DNS authorities, and messaging applications; caching services are those such as content delivery networks; hosting services are those such as social networks, content-sharing services, trading platforms, forums, cloud services, web-hosting services, and app stores</w:t>
      </w:r>
      <w:r w:rsidR="00055C85" w:rsidRPr="0080192B">
        <w:t>.</w:t>
      </w:r>
      <w:r w:rsidR="4B774E0D" w:rsidRPr="0080192B">
        <w:t xml:space="preserve"> </w:t>
      </w:r>
      <w:r w:rsidR="4B774E0D" w:rsidRPr="0080192B">
        <w:rPr>
          <w:i/>
        </w:rPr>
        <w:t>Id.</w:t>
      </w:r>
      <w:r w:rsidR="00055C85" w:rsidRPr="0080192B">
        <w:t xml:space="preserve"> at 22.</w:t>
      </w:r>
    </w:p>
  </w:footnote>
  <w:footnote w:id="172">
    <w:p w14:paraId="628873D7" w14:textId="3FE315CE" w:rsidR="0080192B" w:rsidRPr="0080192B" w:rsidRDefault="0080192B" w:rsidP="00923377">
      <w:pPr>
        <w:pStyle w:val="FootNotePara"/>
        <w:suppressAutoHyphens/>
      </w:pPr>
      <w:r w:rsidRPr="003B2233">
        <w:footnoteRef/>
      </w:r>
      <w:r w:rsidR="00062834">
        <w:t>.</w:t>
      </w:r>
      <w:r w:rsidRPr="003B2233">
        <w:t xml:space="preserve"> </w:t>
      </w:r>
      <w:r w:rsidRPr="0080192B">
        <w:rPr>
          <w:i/>
        </w:rPr>
        <w:t>Id.</w:t>
      </w:r>
      <w:r w:rsidRPr="0080192B">
        <w:t xml:space="preserve"> at 24.</w:t>
      </w:r>
    </w:p>
  </w:footnote>
  <w:footnote w:id="173">
    <w:p w14:paraId="1884021E" w14:textId="63A80560" w:rsidR="0080192B" w:rsidRPr="0080192B" w:rsidRDefault="0080192B" w:rsidP="00923377">
      <w:pPr>
        <w:pStyle w:val="FootNotePara"/>
        <w:suppressAutoHyphens/>
      </w:pPr>
      <w:r w:rsidRPr="003B2233">
        <w:footnoteRef/>
      </w:r>
      <w:r w:rsidR="00062834">
        <w:t>.</w:t>
      </w:r>
      <w:r w:rsidRPr="003B2233">
        <w:t xml:space="preserve"> </w:t>
      </w:r>
      <w:r w:rsidRPr="0080192B">
        <w:rPr>
          <w:i/>
        </w:rPr>
        <w:t>Id.</w:t>
      </w:r>
      <w:r w:rsidRPr="0080192B">
        <w:t xml:space="preserve"> at 25.</w:t>
      </w:r>
    </w:p>
  </w:footnote>
  <w:footnote w:id="174">
    <w:p w14:paraId="2577673C" w14:textId="6E0C29AF" w:rsidR="0080192B" w:rsidRPr="0080192B" w:rsidRDefault="0080192B" w:rsidP="00923377">
      <w:pPr>
        <w:pStyle w:val="FootNotePara"/>
        <w:suppressAutoHyphens/>
      </w:pPr>
      <w:r w:rsidRPr="003B2233">
        <w:footnoteRef/>
      </w:r>
      <w:r w:rsidR="00062834">
        <w:t>.</w:t>
      </w:r>
      <w:r w:rsidRPr="003B2233">
        <w:t xml:space="preserve"> </w:t>
      </w:r>
      <w:r w:rsidRPr="0080192B">
        <w:rPr>
          <w:i/>
        </w:rPr>
        <w:t>Id.</w:t>
      </w:r>
      <w:r w:rsidRPr="0080192B">
        <w:t xml:space="preserve"> at 25</w:t>
      </w:r>
      <w:r w:rsidRPr="0080192B">
        <w:rPr>
          <w:rFonts w:eastAsia="Century Schoolbook" w:cs="Century Schoolbook"/>
          <w:lang w:val="da-DK"/>
        </w:rPr>
        <w:t>–28.</w:t>
      </w:r>
    </w:p>
  </w:footnote>
  <w:footnote w:id="175">
    <w:p w14:paraId="5CE1D79A" w14:textId="475048F8" w:rsidR="0004402C" w:rsidRPr="0080192B" w:rsidRDefault="0004402C" w:rsidP="00923377">
      <w:pPr>
        <w:pStyle w:val="FootNotePara"/>
        <w:suppressAutoHyphens/>
      </w:pPr>
      <w:r w:rsidRPr="003B2233">
        <w:footnoteRef/>
      </w:r>
      <w:r w:rsidR="00062834">
        <w:t>.</w:t>
      </w:r>
      <w:r w:rsidR="00055C85" w:rsidRPr="003B2233">
        <w:t xml:space="preserve"> </w:t>
      </w:r>
      <w:r w:rsidRPr="0080192B">
        <w:t xml:space="preserve">E.g., </w:t>
      </w:r>
      <w:r w:rsidR="4B774E0D" w:rsidRPr="0080192B">
        <w:t>hate speech, bullying, stalking, unsafe products, etc.</w:t>
      </w:r>
    </w:p>
  </w:footnote>
  <w:footnote w:id="176">
    <w:p w14:paraId="5F191E96" w14:textId="4C6B3154" w:rsidR="0004402C" w:rsidRPr="0080192B" w:rsidRDefault="0004402C" w:rsidP="00923377">
      <w:pPr>
        <w:pStyle w:val="FootNotePara"/>
        <w:suppressAutoHyphens/>
      </w:pPr>
      <w:r w:rsidRPr="003B2233">
        <w:footnoteRef/>
      </w:r>
      <w:r w:rsidR="00062834">
        <w:t>.</w:t>
      </w:r>
      <w:r w:rsidR="00055C85" w:rsidRPr="003B2233">
        <w:t xml:space="preserve"> </w:t>
      </w:r>
      <w:r w:rsidRPr="003B2233">
        <w:tab/>
      </w:r>
      <w:r w:rsidRPr="0080192B">
        <w:t xml:space="preserve">E.g., </w:t>
      </w:r>
      <w:r w:rsidR="4B774E0D" w:rsidRPr="0080192B">
        <w:t>freedom of speech, media pluralism, data protection, etc.</w:t>
      </w:r>
    </w:p>
  </w:footnote>
  <w:footnote w:id="177">
    <w:p w14:paraId="61B7530E" w14:textId="5FEE1A13" w:rsidR="0004402C" w:rsidRPr="0080192B" w:rsidRDefault="0004402C" w:rsidP="00923377">
      <w:pPr>
        <w:pStyle w:val="FootNotePara"/>
        <w:suppressAutoHyphens/>
      </w:pPr>
      <w:r w:rsidRPr="003B2233">
        <w:footnoteRef/>
      </w:r>
      <w:r w:rsidR="00062834">
        <w:t>.</w:t>
      </w:r>
      <w:r w:rsidR="00055C85" w:rsidRPr="003B2233">
        <w:t xml:space="preserve"> </w:t>
      </w:r>
      <w:r w:rsidRPr="0080192B">
        <w:tab/>
        <w:t>E.g.</w:t>
      </w:r>
      <w:r w:rsidRPr="0080192B">
        <w:rPr>
          <w:i/>
        </w:rPr>
        <w:t>,</w:t>
      </w:r>
      <w:r w:rsidR="4B774E0D" w:rsidRPr="0080192B">
        <w:t xml:space="preserve"> civic discourse, electoral process, public security, gender-based violence, public health, etc.</w:t>
      </w:r>
    </w:p>
  </w:footnote>
  <w:footnote w:id="178">
    <w:p w14:paraId="5B7CBE28" w14:textId="5523F801" w:rsidR="0080192B" w:rsidRDefault="0080192B" w:rsidP="00923377">
      <w:pPr>
        <w:pStyle w:val="FootNotePara"/>
        <w:suppressAutoHyphens/>
      </w:pPr>
      <w:r w:rsidRPr="003B2233">
        <w:footnoteRef/>
      </w:r>
      <w:r w:rsidR="00062834">
        <w:t>.</w:t>
      </w:r>
      <w:r w:rsidRPr="003B2233">
        <w:t xml:space="preserve"> </w:t>
      </w:r>
      <w:r w:rsidRPr="0080192B">
        <w:rPr>
          <w:rFonts w:eastAsia="Century Schoolbook" w:cs="Century Schoolbook"/>
        </w:rPr>
        <w:t xml:space="preserve">Husovec &amp; Laguna, </w:t>
      </w:r>
      <w:r w:rsidRPr="0080192B">
        <w:rPr>
          <w:rFonts w:eastAsia="Century Schoolbook" w:cs="Century Schoolbook"/>
          <w:i/>
        </w:rPr>
        <w:t>supra</w:t>
      </w:r>
      <w:r w:rsidRPr="0080192B">
        <w:rPr>
          <w:rFonts w:eastAsia="Century Schoolbook" w:cs="Century Schoolbook"/>
        </w:rPr>
        <w:t xml:space="preserve"> note 166, at 28</w:t>
      </w:r>
      <w:r w:rsidRPr="0080192B">
        <w:rPr>
          <w:rFonts w:eastAsia="Century Schoolbook" w:cs="Century Schoolbook"/>
          <w:lang w:val="da-DK"/>
        </w:rPr>
        <w:t>–30</w:t>
      </w:r>
      <w:r w:rsidRPr="0080192B">
        <w:rPr>
          <w:rFonts w:eastAsia="Century Schoolbook" w:cs="Century Schoolbook"/>
        </w:rPr>
        <w:t>.</w:t>
      </w:r>
    </w:p>
  </w:footnote>
  <w:footnote w:id="179">
    <w:p w14:paraId="2855F06D" w14:textId="77777777" w:rsidR="0004402C" w:rsidRPr="0004402C" w:rsidRDefault="0004402C" w:rsidP="00923377">
      <w:pPr>
        <w:pStyle w:val="FootNotePara"/>
        <w:suppressAutoHyphens/>
      </w:pPr>
      <w:r w:rsidRPr="003B2233">
        <w:footnoteRef/>
      </w:r>
      <w:r w:rsidR="00062834">
        <w:t>.</w:t>
      </w:r>
      <w:r w:rsidR="00090592" w:rsidRPr="003B2233">
        <w:t xml:space="preserve"> </w:t>
      </w:r>
      <w:r w:rsidR="4B774E0D" w:rsidRPr="006B1B4B">
        <w:t>While GitHub does not make publicly available their number of employees, filtering for current GitHub employees on LinkedIn residing in only Germany—the most populous European Union country—yields 1</w:t>
      </w:r>
      <w:r w:rsidR="00FD3591">
        <w:t>45</w:t>
      </w:r>
      <w:r w:rsidR="4B774E0D" w:rsidRPr="006B1B4B">
        <w:t xml:space="preserve"> results, which already satisfies the “more than 50 employees” requirement to be classified as a medium-sized or bigger firm</w:t>
      </w:r>
      <w:r w:rsidR="00ED77B6">
        <w:t>.</w:t>
      </w:r>
      <w:r w:rsidR="4B774E0D" w:rsidRPr="006B1B4B">
        <w:t xml:space="preserve"> </w:t>
      </w:r>
      <w:r w:rsidR="00ED77B6">
        <w:rPr>
          <w:i/>
        </w:rPr>
        <w:t>S</w:t>
      </w:r>
      <w:r w:rsidR="4B774E0D" w:rsidRPr="006B1B4B">
        <w:rPr>
          <w:i/>
        </w:rPr>
        <w:t>ee generally</w:t>
      </w:r>
      <w:r w:rsidR="4B774E0D" w:rsidRPr="006B1B4B">
        <w:t xml:space="preserve"> </w:t>
      </w:r>
      <w:r w:rsidR="00976E11" w:rsidRPr="00976E11">
        <w:rPr>
          <w:i/>
          <w:iCs/>
        </w:rPr>
        <w:t xml:space="preserve">GitHub: </w:t>
      </w:r>
      <w:r w:rsidR="4B774E0D" w:rsidRPr="00976E11">
        <w:rPr>
          <w:i/>
          <w:iCs/>
        </w:rPr>
        <w:t>People</w:t>
      </w:r>
      <w:r w:rsidR="4B774E0D" w:rsidRPr="006B1B4B">
        <w:t xml:space="preserve">, </w:t>
      </w:r>
      <w:r w:rsidR="4B774E0D" w:rsidRPr="006B1B4B">
        <w:rPr>
          <w:smallCaps/>
        </w:rPr>
        <w:t>LinkedIn</w:t>
      </w:r>
      <w:r w:rsidR="4B774E0D" w:rsidRPr="006B1B4B">
        <w:t>,</w:t>
      </w:r>
      <w:r w:rsidR="00FD3591">
        <w:t xml:space="preserve"> </w:t>
      </w:r>
      <w:hyperlink r:id="rId6" w:history="1">
        <w:r w:rsidR="002339F5" w:rsidRPr="00127982">
          <w:rPr>
            <w:rStyle w:val="Hyperlink"/>
            <w:rFonts w:ascii="Century Schoolbook" w:hAnsi="Century Schoolbook"/>
          </w:rPr>
          <w:t>https://www.linkedin.com/company/github/people/?facetGeoRegion=101282230</w:t>
        </w:r>
      </w:hyperlink>
      <w:r w:rsidR="002339F5">
        <w:t xml:space="preserve"> [</w:t>
      </w:r>
      <w:r w:rsidR="002339F5" w:rsidRPr="002339F5">
        <w:t>https://perma.cc/XQD3-XYZS</w:t>
      </w:r>
      <w:r w:rsidR="002339F5">
        <w:t>]</w:t>
      </w:r>
      <w:r w:rsidR="00E1043C">
        <w:t xml:space="preserve"> </w:t>
      </w:r>
      <w:hyperlink r:id="rId7" w:history="1"/>
      <w:r w:rsidR="4B774E0D" w:rsidRPr="006B1B4B">
        <w:t xml:space="preserve">(last visited </w:t>
      </w:r>
      <w:r w:rsidR="00667F95">
        <w:t>Dec</w:t>
      </w:r>
      <w:r w:rsidR="4B774E0D" w:rsidRPr="006B1B4B">
        <w:t xml:space="preserve">. </w:t>
      </w:r>
      <w:r w:rsidR="00667F95">
        <w:t>31</w:t>
      </w:r>
      <w:r w:rsidR="4B774E0D" w:rsidRPr="006B1B4B">
        <w:t xml:space="preserve">, 2024); </w:t>
      </w:r>
      <w:r w:rsidR="00DF44BB" w:rsidRPr="00DF44BB">
        <w:rPr>
          <w:i/>
        </w:rPr>
        <w:t>Facts and figures on the European Union</w:t>
      </w:r>
      <w:r w:rsidR="4B774E0D" w:rsidRPr="006B1B4B">
        <w:t xml:space="preserve">, </w:t>
      </w:r>
      <w:r w:rsidR="4B774E0D" w:rsidRPr="006B1B4B">
        <w:rPr>
          <w:smallCaps/>
        </w:rPr>
        <w:t>European Union</w:t>
      </w:r>
      <w:r w:rsidR="4B774E0D" w:rsidRPr="006B1B4B">
        <w:t xml:space="preserve">, </w:t>
      </w:r>
      <w:r w:rsidR="00215A80" w:rsidRPr="00215A80">
        <w:t xml:space="preserve">https://european-union.europa.eu/principles-countries-history/facts-and-figures-european-union_en </w:t>
      </w:r>
      <w:r w:rsidR="002274EF">
        <w:t>[</w:t>
      </w:r>
      <w:r w:rsidR="002274EF" w:rsidRPr="002274EF">
        <w:t xml:space="preserve">https://perma.cc/GMT8-FHVQ </w:t>
      </w:r>
      <w:r w:rsidR="002274EF">
        <w:t xml:space="preserve">] </w:t>
      </w:r>
      <w:r w:rsidR="4B774E0D" w:rsidRPr="006B1B4B">
        <w:t xml:space="preserve">(last visited </w:t>
      </w:r>
      <w:r w:rsidR="00215A80">
        <w:t>Dec</w:t>
      </w:r>
      <w:r w:rsidR="4B774E0D" w:rsidRPr="006B1B4B">
        <w:t xml:space="preserve">. </w:t>
      </w:r>
      <w:r w:rsidR="00215A80">
        <w:t>31</w:t>
      </w:r>
      <w:r w:rsidR="4B774E0D" w:rsidRPr="006B1B4B">
        <w:t>, 2024). In Q3 of 2023, GitHub reported 15,528,470 developers in the EU, which is insufficient for it to be designated as a very large online platform (VLOP) needing to fulfill special obligations under the DSA</w:t>
      </w:r>
      <w:r w:rsidR="00D47F1D" w:rsidRPr="006B1B4B">
        <w:t xml:space="preserve">. </w:t>
      </w:r>
      <w:r w:rsidR="00D47F1D" w:rsidRPr="006B1B4B">
        <w:rPr>
          <w:i/>
        </w:rPr>
        <w:t>Innovation Graph Developers</w:t>
      </w:r>
      <w:r w:rsidR="00D47F1D" w:rsidRPr="006B1B4B">
        <w:t xml:space="preserve">, </w:t>
      </w:r>
      <w:r w:rsidR="00D47F1D" w:rsidRPr="006B1B4B">
        <w:rPr>
          <w:smallCaps/>
        </w:rPr>
        <w:t>GitHub</w:t>
      </w:r>
      <w:r w:rsidR="00D47F1D" w:rsidRPr="006B1B4B">
        <w:t>, https://raw.githubusercontent.com/github/innovationgraph/main/data/developers.csv</w:t>
      </w:r>
      <w:r w:rsidR="4B774E0D" w:rsidRPr="4B774E0D">
        <w:t xml:space="preserve"> </w:t>
      </w:r>
      <w:r w:rsidR="0070078C">
        <w:t>[</w:t>
      </w:r>
      <w:r w:rsidR="4B774E0D" w:rsidRPr="4B774E0D">
        <w:t>https://perma.cc/4WB8-UMVZ</w:t>
      </w:r>
      <w:r w:rsidR="0070078C">
        <w:t>]</w:t>
      </w:r>
      <w:r w:rsidR="4B774E0D" w:rsidRPr="006B1B4B">
        <w:t xml:space="preserve"> (last visited Feb. 5, 2024).</w:t>
      </w:r>
    </w:p>
  </w:footnote>
  <w:footnote w:id="180">
    <w:p w14:paraId="03F5528E" w14:textId="77777777" w:rsidR="0004402C" w:rsidRPr="0004402C" w:rsidRDefault="0004402C" w:rsidP="00923377">
      <w:pPr>
        <w:pStyle w:val="FootNotePara"/>
        <w:suppressAutoHyphens/>
      </w:pPr>
      <w:r w:rsidRPr="003B2233">
        <w:footnoteRef/>
      </w:r>
      <w:r w:rsidR="00062834">
        <w:t>.</w:t>
      </w:r>
      <w:r w:rsidR="00FD7C71" w:rsidRPr="003B2233">
        <w:t xml:space="preserve"> </w:t>
      </w:r>
      <w:r w:rsidRPr="0004402C">
        <w:rPr>
          <w:i/>
        </w:rPr>
        <w:tab/>
      </w:r>
      <w:r w:rsidRPr="006B1B4B">
        <w:rPr>
          <w:i/>
        </w:rPr>
        <w:t xml:space="preserve">GitHub </w:t>
      </w:r>
      <w:r w:rsidR="4B774E0D" w:rsidRPr="006B1B4B">
        <w:rPr>
          <w:i/>
        </w:rPr>
        <w:t>General Privacy Statement</w:t>
      </w:r>
      <w:r w:rsidR="4B774E0D" w:rsidRPr="006B1B4B">
        <w:t xml:space="preserve">, </w:t>
      </w:r>
      <w:r w:rsidR="4B774E0D" w:rsidRPr="006B1B4B">
        <w:rPr>
          <w:smallCaps/>
        </w:rPr>
        <w:t>GitHub</w:t>
      </w:r>
      <w:r w:rsidR="4B774E0D" w:rsidRPr="006B1B4B">
        <w:t xml:space="preserve">, </w:t>
      </w:r>
      <w:r w:rsidRPr="006B1B4B">
        <w:t>https://docs.github.com/en/site-policy/privacy-policies/github-general-privacy-statement</w:t>
      </w:r>
      <w:r w:rsidR="4B774E0D" w:rsidRPr="4B774E0D">
        <w:t xml:space="preserve"> </w:t>
      </w:r>
      <w:r w:rsidR="00B165C1">
        <w:t>[</w:t>
      </w:r>
      <w:r w:rsidR="4B774E0D" w:rsidRPr="4B774E0D">
        <w:t>https://perma.cc/N3TQ-BCDS</w:t>
      </w:r>
      <w:r w:rsidR="00B165C1">
        <w:t xml:space="preserve">] </w:t>
      </w:r>
      <w:r w:rsidR="4B774E0D" w:rsidRPr="006B1B4B">
        <w:t>(last visited Feb. 5, 2024).</w:t>
      </w:r>
    </w:p>
  </w:footnote>
  <w:footnote w:id="181">
    <w:p w14:paraId="34C22A2D" w14:textId="68180082" w:rsidR="0004402C" w:rsidRPr="00EE0558" w:rsidRDefault="0004402C" w:rsidP="00923377">
      <w:pPr>
        <w:pStyle w:val="FootNotePara"/>
        <w:suppressAutoHyphens/>
      </w:pPr>
      <w:r w:rsidRPr="003B2233">
        <w:footnoteRef/>
      </w:r>
      <w:r w:rsidR="00062834">
        <w:rPr>
          <w:i/>
        </w:rPr>
        <w:t>.</w:t>
      </w:r>
      <w:r w:rsidR="003B68C4" w:rsidRPr="003B68C4">
        <w:rPr>
          <w:i/>
        </w:rPr>
        <w:t xml:space="preserve"> </w:t>
      </w:r>
      <w:r w:rsidR="00FB08A4" w:rsidRPr="00F259E5">
        <w:rPr>
          <w:i/>
          <w:iCs/>
        </w:rPr>
        <w:t>GitHub Transparency Report</w:t>
      </w:r>
      <w:r w:rsidR="00FB08A4">
        <w:t xml:space="preserve">, </w:t>
      </w:r>
      <w:r w:rsidR="00FB08A4" w:rsidRPr="007570CA">
        <w:rPr>
          <w:rFonts w:cs="Times New Roman (Body CS)"/>
          <w:smallCaps/>
        </w:rPr>
        <w:t>GitHub</w:t>
      </w:r>
      <w:r w:rsidR="00EE0558">
        <w:rPr>
          <w:rFonts w:cs="Times New Roman (Body CS)"/>
          <w:smallCaps/>
        </w:rPr>
        <w:t xml:space="preserve"> Blog</w:t>
      </w:r>
      <w:r w:rsidR="00FB08A4">
        <w:t xml:space="preserve">, </w:t>
      </w:r>
      <w:r w:rsidR="00FB08A4" w:rsidRPr="00F259E5">
        <w:t>https://github.blog/tag/github-transparency-report</w:t>
      </w:r>
      <w:r w:rsidR="00FB08A4">
        <w:t xml:space="preserve"> </w:t>
      </w:r>
      <w:r w:rsidR="00EE4D16">
        <w:t>[</w:t>
      </w:r>
      <w:r w:rsidR="00EE4D16" w:rsidRPr="00EE4D16">
        <w:t>https://perma.cc/3RA7-HJDK</w:t>
      </w:r>
      <w:r w:rsidR="00EE4D16">
        <w:t>]</w:t>
      </w:r>
      <w:r w:rsidR="00FB08A4">
        <w:t xml:space="preserve"> (last visited </w:t>
      </w:r>
      <w:r w:rsidR="00EE0558">
        <w:t>Dec</w:t>
      </w:r>
      <w:r w:rsidR="00FB08A4">
        <w:t xml:space="preserve">. </w:t>
      </w:r>
      <w:r w:rsidR="00EE0558">
        <w:t>31</w:t>
      </w:r>
      <w:r w:rsidR="00FB08A4">
        <w:t>, 202</w:t>
      </w:r>
      <w:r w:rsidR="00EE0558">
        <w:t>4</w:t>
      </w:r>
      <w:r w:rsidR="00FB08A4">
        <w:t>)</w:t>
      </w:r>
      <w:r w:rsidR="4B774E0D" w:rsidRPr="006B1B4B">
        <w:t xml:space="preserve">; Margaret Tucker, </w:t>
      </w:r>
      <w:r w:rsidR="4B774E0D" w:rsidRPr="006B1B4B">
        <w:rPr>
          <w:i/>
        </w:rPr>
        <w:t>Introducing the GitHub Transparency Center</w:t>
      </w:r>
      <w:r w:rsidR="4B774E0D" w:rsidRPr="006B1B4B">
        <w:t xml:space="preserve">, </w:t>
      </w:r>
      <w:r w:rsidR="4B774E0D" w:rsidRPr="006B1B4B">
        <w:rPr>
          <w:smallCaps/>
        </w:rPr>
        <w:t>GitHub Blog</w:t>
      </w:r>
      <w:r w:rsidR="4B774E0D" w:rsidRPr="006B1B4B">
        <w:t xml:space="preserve"> (Oct. 31, 2023), </w:t>
      </w:r>
      <w:hyperlink r:id="rId8" w:history="1">
        <w:r w:rsidR="009A5F6A" w:rsidRPr="00127982">
          <w:rPr>
            <w:rStyle w:val="Hyperlink"/>
            <w:rFonts w:ascii="Century Schoolbook" w:eastAsia="Century Schoolbook" w:hAnsi="Century Schoolbook" w:cs="Century Schoolbook"/>
            <w:szCs w:val="16"/>
          </w:rPr>
          <w:t>https://github.blog/news-insights/policy-news-and-insights/introducing-the-github-transparency-center</w:t>
        </w:r>
      </w:hyperlink>
      <w:r w:rsidR="009A5F6A">
        <w:rPr>
          <w:rFonts w:eastAsia="Century Schoolbook" w:cs="Century Schoolbook"/>
          <w:szCs w:val="16"/>
        </w:rPr>
        <w:t xml:space="preserve"> </w:t>
      </w:r>
      <w:r w:rsidR="004E0315">
        <w:t>[</w:t>
      </w:r>
      <w:r w:rsidR="004E0315" w:rsidRPr="009A5F6A">
        <w:rPr>
          <w:rFonts w:eastAsia="Century Schoolbook" w:cs="Century Schoolbook"/>
          <w:szCs w:val="16"/>
        </w:rPr>
        <w:t>https://perma.cc/XRE8-LHMJ</w:t>
      </w:r>
      <w:r w:rsidR="004E0315">
        <w:t>]</w:t>
      </w:r>
      <w:r w:rsidR="00EE0558">
        <w:t xml:space="preserve">; </w:t>
      </w:r>
      <w:r w:rsidR="00EE0558">
        <w:rPr>
          <w:i/>
          <w:iCs/>
        </w:rPr>
        <w:t>Transparency Center</w:t>
      </w:r>
      <w:r w:rsidR="00EE0558">
        <w:t xml:space="preserve">, GitHub, </w:t>
      </w:r>
      <w:r w:rsidR="007960C0" w:rsidRPr="007960C0">
        <w:rPr>
          <w:rFonts w:eastAsia="Century Schoolbook" w:cs="Century Schoolbook"/>
          <w:szCs w:val="16"/>
        </w:rPr>
        <w:t>https://transparencycenter.github.com</w:t>
      </w:r>
      <w:r w:rsidR="007960C0">
        <w:rPr>
          <w:rFonts w:eastAsia="Century Schoolbook" w:cs="Century Schoolbook"/>
          <w:szCs w:val="16"/>
        </w:rPr>
        <w:t xml:space="preserve"> [</w:t>
      </w:r>
      <w:r w:rsidR="007960C0" w:rsidRPr="007960C0">
        <w:rPr>
          <w:rFonts w:eastAsia="Century Schoolbook" w:cs="Century Schoolbook"/>
          <w:szCs w:val="16"/>
        </w:rPr>
        <w:t>https://perma.cc/679X-VZZD</w:t>
      </w:r>
      <w:r w:rsidR="007960C0">
        <w:rPr>
          <w:rFonts w:eastAsia="Century Schoolbook" w:cs="Century Schoolbook"/>
          <w:szCs w:val="16"/>
        </w:rPr>
        <w:t>]</w:t>
      </w:r>
      <w:r w:rsidR="00EE0558">
        <w:t xml:space="preserve"> (last visited Dec. 31, 2024).</w:t>
      </w:r>
    </w:p>
  </w:footnote>
  <w:footnote w:id="182">
    <w:p w14:paraId="17D8C0DD" w14:textId="353CC6DA" w:rsidR="0004402C" w:rsidRPr="0004402C" w:rsidRDefault="0004402C" w:rsidP="00923377">
      <w:pPr>
        <w:pStyle w:val="FootNotePara"/>
        <w:suppressAutoHyphens/>
        <w:jc w:val="left"/>
      </w:pPr>
      <w:r w:rsidRPr="0058033D">
        <w:footnoteRef/>
      </w:r>
      <w:r w:rsidR="0058033D" w:rsidRPr="0058033D">
        <w:t>.</w:t>
      </w:r>
      <w:r w:rsidR="00D33DD7">
        <w:t xml:space="preserve"> </w:t>
      </w:r>
      <w:r w:rsidR="4B774E0D" w:rsidRPr="006B1B4B">
        <w:t xml:space="preserve">Kevin Xu, </w:t>
      </w:r>
      <w:r w:rsidR="4B774E0D" w:rsidRPr="006B1B4B">
        <w:rPr>
          <w:i/>
        </w:rPr>
        <w:t>2022 Transparency Report</w:t>
      </w:r>
      <w:r w:rsidR="4B774E0D" w:rsidRPr="006B1B4B">
        <w:t xml:space="preserve">, </w:t>
      </w:r>
      <w:r w:rsidR="4B774E0D" w:rsidRPr="006B1B4B">
        <w:rPr>
          <w:smallCaps/>
        </w:rPr>
        <w:t>GitHub Blog</w:t>
      </w:r>
      <w:r w:rsidR="4B774E0D" w:rsidRPr="006B1B4B">
        <w:t xml:space="preserve"> (Feb. 15, 2023), </w:t>
      </w:r>
      <w:r w:rsidRPr="006B1B4B">
        <w:t>https://github.blog/2023-02-15-2022-transparency-report</w:t>
      </w:r>
      <w:r w:rsidR="007712C2">
        <w:t xml:space="preserve"> [</w:t>
      </w:r>
      <w:r w:rsidR="00256F7D" w:rsidRPr="00256F7D">
        <w:t>https://</w:t>
      </w:r>
      <w:r w:rsidR="007712C2" w:rsidRPr="00256F7D">
        <w:t>perma.cc</w:t>
      </w:r>
      <w:r w:rsidR="00256F7D" w:rsidRPr="00256F7D">
        <w:t>/XDR4-J8TQ</w:t>
      </w:r>
      <w:r w:rsidR="007712C2">
        <w:t>]</w:t>
      </w:r>
      <w:r w:rsidR="4B774E0D" w:rsidRPr="006B1B4B">
        <w:t>.</w:t>
      </w:r>
    </w:p>
  </w:footnote>
  <w:footnote w:id="183">
    <w:p w14:paraId="716BA0D2" w14:textId="791ABD89" w:rsidR="0004402C" w:rsidRPr="0004402C" w:rsidRDefault="0004402C" w:rsidP="00923377">
      <w:pPr>
        <w:pStyle w:val="FootNotePara"/>
        <w:suppressAutoHyphens/>
      </w:pPr>
      <w:r w:rsidRPr="003B2233">
        <w:footnoteRef/>
      </w:r>
      <w:r w:rsidR="0058033D">
        <w:t>.</w:t>
      </w:r>
      <w:r w:rsidR="00DF26FC" w:rsidRPr="003B2233">
        <w:t xml:space="preserve"> </w:t>
      </w:r>
      <w:r w:rsidRPr="003B2233">
        <w:tab/>
      </w:r>
      <w:r w:rsidR="4B774E0D" w:rsidRPr="006B1B4B">
        <w:rPr>
          <w:i/>
        </w:rPr>
        <w:t>Id.</w:t>
      </w:r>
      <w:r w:rsidR="4B774E0D" w:rsidRPr="006B1B4B">
        <w:t xml:space="preserve">; </w:t>
      </w:r>
      <w:r w:rsidR="4B774E0D" w:rsidRPr="006B1B4B">
        <w:rPr>
          <w:i/>
        </w:rPr>
        <w:t>The Santa Clara Principles on Transparency and Accountability in Content Moderation</w:t>
      </w:r>
      <w:r w:rsidR="4B774E0D" w:rsidRPr="006B1B4B">
        <w:t xml:space="preserve">, </w:t>
      </w:r>
      <w:hyperlink r:id="rId9" w:history="1">
        <w:r w:rsidR="00D76644" w:rsidRPr="00127982">
          <w:rPr>
            <w:rStyle w:val="Hyperlink"/>
            <w:rFonts w:ascii="Century Schoolbook" w:hAnsi="Century Schoolbook"/>
          </w:rPr>
          <w:t>https://santaclaraprinciples.org</w:t>
        </w:r>
      </w:hyperlink>
      <w:r w:rsidR="00D76644">
        <w:t xml:space="preserve"> [</w:t>
      </w:r>
      <w:r w:rsidR="00D76644" w:rsidRPr="00D76644">
        <w:t>https://perma.cc/VQL4-HK4K</w:t>
      </w:r>
      <w:r w:rsidR="00D76644">
        <w:t>]</w:t>
      </w:r>
      <w:r w:rsidR="4B774E0D" w:rsidRPr="006B1B4B">
        <w:t xml:space="preserve"> (last visited Mar. 22, 2023) (the Santa Clara Principles instruct companies to integrate human rights and due process considerations into content moderation, publish clear and precise guidelines informing users of when an act</w:t>
      </w:r>
      <w:r w:rsidR="0032129B">
        <w:t>ion</w:t>
      </w:r>
      <w:r w:rsidR="4B774E0D" w:rsidRPr="006B1B4B">
        <w:t xml:space="preserve"> will be taken in a easily accessible place, consider cultural context when making decisions and providing content moderation guidelines and processes in the user’s language, recognize risks of state involvement in content moderation and inform users that a state actor was part of the decision affecting them, actively monitor the quality of the content moderation decisions, publish numbers about pieces of content and accounts actioned, provide notice to users of removed content and why their content has been removed, and allow users to appeal decisions); </w:t>
      </w:r>
      <w:r w:rsidR="4B774E0D" w:rsidRPr="004A25E5">
        <w:t>Human Rights Council,</w:t>
      </w:r>
      <w:r w:rsidR="4B774E0D" w:rsidRPr="004A25E5">
        <w:rPr>
          <w:i/>
        </w:rPr>
        <w:t xml:space="preserve"> </w:t>
      </w:r>
      <w:r w:rsidRPr="004A25E5">
        <w:rPr>
          <w:i/>
        </w:rPr>
        <w:t>R</w:t>
      </w:r>
      <w:r w:rsidR="4B774E0D" w:rsidRPr="004A25E5">
        <w:rPr>
          <w:i/>
        </w:rPr>
        <w:t>eport of the Special Rapporteur on the promotion and protection of the right to freedom of opinion and expression</w:t>
      </w:r>
      <w:r w:rsidR="4B774E0D" w:rsidRPr="006B1B4B">
        <w:t xml:space="preserve">, </w:t>
      </w:r>
      <w:r w:rsidRPr="006B1B4B">
        <w:t xml:space="preserve">U.N. Doc. A/HRC/38/35 </w:t>
      </w:r>
      <w:r w:rsidR="4B774E0D" w:rsidRPr="006B1B4B">
        <w:t>(</w:t>
      </w:r>
      <w:r w:rsidR="00B063CA">
        <w:t xml:space="preserve">June 4, </w:t>
      </w:r>
      <w:r w:rsidR="4B774E0D" w:rsidRPr="006B1B4B">
        <w:t xml:space="preserve">2018); </w:t>
      </w:r>
      <w:r w:rsidRPr="00E943D6">
        <w:t>GitHub</w:t>
      </w:r>
      <w:r w:rsidR="00E943D6" w:rsidRPr="00E943D6">
        <w:t xml:space="preserve">, </w:t>
      </w:r>
      <w:r w:rsidRPr="006B1B4B">
        <w:rPr>
          <w:i/>
        </w:rPr>
        <w:t>Submission to study on social media, search, and freedom of expression</w:t>
      </w:r>
      <w:r w:rsidRPr="006B1B4B">
        <w:t xml:space="preserve">, </w:t>
      </w:r>
      <w:r w:rsidRPr="006B1B4B">
        <w:rPr>
          <w:smallCaps/>
        </w:rPr>
        <w:t>U.N. Human Rights Office</w:t>
      </w:r>
      <w:r w:rsidRPr="006B1B4B">
        <w:t xml:space="preserve"> (Jan. 2018), </w:t>
      </w:r>
      <w:hyperlink r:id="rId10" w:history="1">
        <w:r w:rsidR="00B1670A" w:rsidRPr="00127982">
          <w:rPr>
            <w:rStyle w:val="Hyperlink"/>
            <w:rFonts w:ascii="Century Schoolbook" w:hAnsi="Century Schoolbook"/>
          </w:rPr>
          <w:t>https://www.ohchr.org/sites/default/files/Documents/Issues/Opinion/ContentRegulation/Github.pdf</w:t>
        </w:r>
      </w:hyperlink>
      <w:r w:rsidR="00B1670A">
        <w:t xml:space="preserve"> [</w:t>
      </w:r>
      <w:r w:rsidR="00B1670A" w:rsidRPr="00B1670A">
        <w:t>https://perma.cc/3QGE-4H8L</w:t>
      </w:r>
      <w:r w:rsidR="00B1670A">
        <w:t>]</w:t>
      </w:r>
      <w:r w:rsidR="4B774E0D" w:rsidRPr="006B1B4B">
        <w:t>.</w:t>
      </w:r>
    </w:p>
  </w:footnote>
  <w:footnote w:id="184">
    <w:p w14:paraId="49057D84" w14:textId="49FC8F74" w:rsidR="0004402C" w:rsidRPr="0004402C" w:rsidRDefault="0004402C" w:rsidP="00923377">
      <w:pPr>
        <w:pStyle w:val="FootNotePara"/>
        <w:suppressAutoHyphens/>
        <w:rPr>
          <w:i/>
          <w:iCs/>
        </w:rPr>
      </w:pPr>
      <w:r w:rsidRPr="003B2233">
        <w:footnoteRef/>
      </w:r>
      <w:r w:rsidR="0058033D">
        <w:t>.</w:t>
      </w:r>
      <w:r w:rsidR="003C1919" w:rsidRPr="003B2233">
        <w:t xml:space="preserve"> </w:t>
      </w:r>
      <w:r w:rsidRPr="003B2233">
        <w:tab/>
      </w:r>
      <w:r w:rsidR="4B774E0D" w:rsidRPr="007B0C73">
        <w:rPr>
          <w:i/>
        </w:rPr>
        <w:t>github/site-policy</w:t>
      </w:r>
      <w:r w:rsidR="4B774E0D" w:rsidRPr="007B0C73">
        <w:t xml:space="preserve">, </w:t>
      </w:r>
      <w:r w:rsidR="4B774E0D" w:rsidRPr="007B0C73">
        <w:rPr>
          <w:smallCaps/>
        </w:rPr>
        <w:t>GitHub</w:t>
      </w:r>
      <w:r w:rsidR="4B774E0D" w:rsidRPr="007B0C73">
        <w:t>,</w:t>
      </w:r>
      <w:r w:rsidRPr="007B0C73">
        <w:t xml:space="preserve"> https://github.com/github/site-policy</w:t>
      </w:r>
      <w:r w:rsidR="00754226">
        <w:t xml:space="preserve"> [</w:t>
      </w:r>
      <w:r w:rsidR="4B774E0D" w:rsidRPr="4B774E0D">
        <w:t>https://perma.cc/FVW7-H972</w:t>
      </w:r>
      <w:r w:rsidR="00754226">
        <w:t>]</w:t>
      </w:r>
      <w:r w:rsidR="4B774E0D" w:rsidRPr="007B0C73">
        <w:t xml:space="preserve"> (last visited Mar. 22, 2023).</w:t>
      </w:r>
    </w:p>
  </w:footnote>
  <w:footnote w:id="185">
    <w:p w14:paraId="72AD1A13" w14:textId="08AE0802" w:rsidR="0004402C" w:rsidRPr="0004402C" w:rsidRDefault="0004402C" w:rsidP="00923377">
      <w:pPr>
        <w:pStyle w:val="FootNotePara"/>
        <w:suppressAutoHyphens/>
      </w:pPr>
      <w:r w:rsidRPr="003B2233">
        <w:footnoteRef/>
      </w:r>
      <w:r w:rsidR="0058033D">
        <w:t>.</w:t>
      </w:r>
      <w:r w:rsidR="001E0278" w:rsidRPr="003B2233">
        <w:t xml:space="preserve"> </w:t>
      </w:r>
      <w:r w:rsidR="4B774E0D" w:rsidRPr="001E0278">
        <w:t xml:space="preserve">Abby Vollmer, </w:t>
      </w:r>
      <w:r w:rsidR="4B774E0D" w:rsidRPr="001E0278">
        <w:rPr>
          <w:i/>
        </w:rPr>
        <w:t>Update github-community-guidelines.md</w:t>
      </w:r>
      <w:r w:rsidR="4B774E0D" w:rsidRPr="001E0278">
        <w:t xml:space="preserve">, </w:t>
      </w:r>
      <w:r w:rsidR="4B774E0D" w:rsidRPr="001E0278">
        <w:rPr>
          <w:smallCaps/>
        </w:rPr>
        <w:t>GitHub</w:t>
      </w:r>
      <w:r w:rsidR="4B774E0D" w:rsidRPr="001E0278">
        <w:t xml:space="preserve"> (Feb. 10, 2022),</w:t>
      </w:r>
      <w:r w:rsidRPr="001E0278">
        <w:t xml:space="preserve"> </w:t>
      </w:r>
      <w:hyperlink r:id="rId11" w:history="1">
        <w:r w:rsidR="00F31B45" w:rsidRPr="00127982">
          <w:rPr>
            <w:rStyle w:val="Hyperlink"/>
            <w:rFonts w:ascii="Century Schoolbook" w:hAnsi="Century Schoolbook"/>
          </w:rPr>
          <w:t>https://github.com/github/site-policy/commit/2ec42316e78240e3003f82047e8a5a45a7361cbe</w:t>
        </w:r>
      </w:hyperlink>
      <w:r w:rsidR="00F31B45">
        <w:t xml:space="preserve"> [</w:t>
      </w:r>
      <w:r w:rsidR="00AB1797" w:rsidRPr="00AB1797">
        <w:t>https://perma.cc/CEQ2-TPPZ</w:t>
      </w:r>
      <w:r w:rsidR="00F31B45">
        <w:t>]</w:t>
      </w:r>
      <w:r w:rsidR="4B774E0D" w:rsidRPr="006B1B4B">
        <w:t>.</w:t>
      </w:r>
    </w:p>
  </w:footnote>
  <w:footnote w:id="186">
    <w:p w14:paraId="75CE4508" w14:textId="139840DB" w:rsidR="0004402C" w:rsidRPr="0004402C" w:rsidRDefault="0004402C" w:rsidP="00923377">
      <w:pPr>
        <w:pStyle w:val="FootNotePara"/>
        <w:suppressAutoHyphens/>
      </w:pPr>
      <w:r w:rsidRPr="003B2233">
        <w:footnoteRef/>
      </w:r>
      <w:r w:rsidR="0058033D">
        <w:t>.</w:t>
      </w:r>
      <w:r w:rsidR="00831D70" w:rsidRPr="003B2233">
        <w:t xml:space="preserve"> </w:t>
      </w:r>
      <w:r w:rsidRPr="0004402C">
        <w:tab/>
      </w:r>
      <w:r w:rsidR="4B774E0D" w:rsidRPr="00A52B82">
        <w:t xml:space="preserve">Douek, </w:t>
      </w:r>
      <w:r w:rsidR="4B774E0D" w:rsidRPr="00A52B82">
        <w:rPr>
          <w:i/>
        </w:rPr>
        <w:t>supra</w:t>
      </w:r>
      <w:r w:rsidR="4B774E0D" w:rsidRPr="00A52B82">
        <w:t xml:space="preserve"> note 11</w:t>
      </w:r>
      <w:r w:rsidR="001D76F8">
        <w:t>3</w:t>
      </w:r>
      <w:r w:rsidR="4B774E0D" w:rsidRPr="006B1B4B">
        <w:t>, at 531.</w:t>
      </w:r>
    </w:p>
  </w:footnote>
  <w:footnote w:id="187">
    <w:p w14:paraId="053B46F6" w14:textId="713183C0" w:rsidR="0004402C" w:rsidRPr="0004402C" w:rsidRDefault="0004402C" w:rsidP="00923377">
      <w:pPr>
        <w:pStyle w:val="FootNotePara"/>
        <w:suppressAutoHyphens/>
      </w:pPr>
      <w:r w:rsidRPr="003B2233">
        <w:footnoteRef/>
      </w:r>
      <w:r w:rsidR="0058033D">
        <w:t>.</w:t>
      </w:r>
      <w:r w:rsidR="007C42D5">
        <w:t xml:space="preserve"> </w:t>
      </w:r>
      <w:r w:rsidRPr="003B2233">
        <w:tab/>
      </w:r>
      <w:r w:rsidR="4B774E0D" w:rsidRPr="003C00BA">
        <w:rPr>
          <w:i/>
        </w:rPr>
        <w:t>GitHub Terms of Service</w:t>
      </w:r>
      <w:r w:rsidR="4B774E0D" w:rsidRPr="003C00BA">
        <w:t xml:space="preserve">, </w:t>
      </w:r>
      <w:r w:rsidR="4B774E0D" w:rsidRPr="003C00BA">
        <w:rPr>
          <w:smallCaps/>
        </w:rPr>
        <w:t>GitHub</w:t>
      </w:r>
      <w:r w:rsidR="4B774E0D" w:rsidRPr="003C00BA">
        <w:t xml:space="preserve">, </w:t>
      </w:r>
      <w:r w:rsidRPr="003C00BA">
        <w:t>https://docs.github.com/en/site-policy/github-terms/github-terms-of-service</w:t>
      </w:r>
      <w:r w:rsidR="4B774E0D" w:rsidRPr="4B774E0D">
        <w:t xml:space="preserve"> </w:t>
      </w:r>
      <w:r w:rsidR="00D559F6">
        <w:t>[</w:t>
      </w:r>
      <w:r w:rsidR="4B774E0D" w:rsidRPr="4B774E0D">
        <w:t>https://perma.cc/4L4H-8XXC</w:t>
      </w:r>
      <w:r w:rsidR="00D559F6">
        <w:t>]</w:t>
      </w:r>
      <w:r w:rsidR="4B774E0D" w:rsidRPr="00A1631D">
        <w:t xml:space="preserve"> (last visited Mar. 22, 2023).</w:t>
      </w:r>
    </w:p>
  </w:footnote>
  <w:footnote w:id="188">
    <w:p w14:paraId="4E1DF301" w14:textId="753D6B2A" w:rsidR="0004402C" w:rsidRPr="0004402C" w:rsidRDefault="0004402C" w:rsidP="00923377">
      <w:pPr>
        <w:pStyle w:val="FootNotePara"/>
        <w:suppressAutoHyphens/>
      </w:pPr>
      <w:r w:rsidRPr="003B2233">
        <w:footnoteRef/>
      </w:r>
      <w:r w:rsidR="003B2233">
        <w:t>.</w:t>
      </w:r>
      <w:r w:rsidR="00601565" w:rsidRPr="003B2233">
        <w:t xml:space="preserve"> </w:t>
      </w:r>
      <w:r w:rsidRPr="0004402C">
        <w:rPr>
          <w:i/>
          <w:iCs/>
        </w:rPr>
        <w:tab/>
      </w:r>
      <w:r w:rsidR="4B774E0D" w:rsidRPr="00601565">
        <w:rPr>
          <w:i/>
        </w:rPr>
        <w:t>GitHub Acceptable Use Policies</w:t>
      </w:r>
      <w:r w:rsidR="4B774E0D" w:rsidRPr="00601565">
        <w:t xml:space="preserve">, </w:t>
      </w:r>
      <w:r w:rsidR="4B774E0D" w:rsidRPr="00601565">
        <w:rPr>
          <w:smallCaps/>
        </w:rPr>
        <w:t>GitHub</w:t>
      </w:r>
      <w:r w:rsidR="4B774E0D" w:rsidRPr="00601565">
        <w:t xml:space="preserve">, </w:t>
      </w:r>
      <w:r w:rsidRPr="00601565">
        <w:t>https://docs.github.com/en/site-policy/acceptable-use-policies/github-acceptable-use-policies</w:t>
      </w:r>
      <w:r w:rsidR="4B774E0D" w:rsidRPr="4B774E0D">
        <w:t xml:space="preserve"> </w:t>
      </w:r>
      <w:r w:rsidR="00366576">
        <w:t>[</w:t>
      </w:r>
      <w:r w:rsidR="4B774E0D" w:rsidRPr="4B774E0D">
        <w:t>https://perma.cc/7JEW-YBU2</w:t>
      </w:r>
      <w:r w:rsidR="00366576">
        <w:t>]</w:t>
      </w:r>
      <w:r w:rsidR="4B774E0D" w:rsidRPr="0050259D">
        <w:t xml:space="preserve"> (last visited Mar. 22, 2023); </w:t>
      </w:r>
      <w:r w:rsidR="4B774E0D" w:rsidRPr="0050259D">
        <w:rPr>
          <w:i/>
        </w:rPr>
        <w:t>GitHub Community Guidelines</w:t>
      </w:r>
      <w:r w:rsidR="4B774E0D" w:rsidRPr="0050259D">
        <w:t xml:space="preserve">, </w:t>
      </w:r>
      <w:r w:rsidR="4B774E0D" w:rsidRPr="0050259D">
        <w:rPr>
          <w:smallCaps/>
        </w:rPr>
        <w:t>GitHub</w:t>
      </w:r>
      <w:r w:rsidR="4B774E0D" w:rsidRPr="0050259D">
        <w:t xml:space="preserve">, </w:t>
      </w:r>
      <w:r w:rsidRPr="0050259D">
        <w:t>https://docs.github.com/en/site-policy/github-terms/github-community-guidelines</w:t>
      </w:r>
      <w:r w:rsidR="4B774E0D" w:rsidRPr="4B774E0D">
        <w:t xml:space="preserve"> </w:t>
      </w:r>
      <w:r w:rsidR="00102841">
        <w:t>[</w:t>
      </w:r>
      <w:r w:rsidR="4B774E0D" w:rsidRPr="4B774E0D">
        <w:t>https://perma.cc/67WE-E58X</w:t>
      </w:r>
      <w:r w:rsidR="00102841">
        <w:t>]</w:t>
      </w:r>
      <w:r w:rsidR="4B774E0D" w:rsidRPr="006B1B4B">
        <w:t xml:space="preserve"> (last visited Mar. 22, 2023).</w:t>
      </w:r>
    </w:p>
  </w:footnote>
  <w:footnote w:id="189">
    <w:p w14:paraId="6E004A92" w14:textId="213E7C90" w:rsidR="0004402C" w:rsidRPr="0004402C" w:rsidRDefault="0004402C" w:rsidP="00923377">
      <w:pPr>
        <w:pStyle w:val="FootNotePara"/>
        <w:suppressAutoHyphens/>
      </w:pPr>
      <w:r w:rsidRPr="003B2233">
        <w:footnoteRef/>
      </w:r>
      <w:r w:rsidR="003B2233">
        <w:t>.</w:t>
      </w:r>
      <w:r w:rsidR="004912FE">
        <w:t xml:space="preserve"> </w:t>
      </w:r>
      <w:r w:rsidR="4B774E0D" w:rsidRPr="004912FE">
        <w:t xml:space="preserve">Xu, </w:t>
      </w:r>
      <w:r w:rsidR="4B774E0D" w:rsidRPr="004912FE">
        <w:rPr>
          <w:i/>
        </w:rPr>
        <w:t>supra</w:t>
      </w:r>
      <w:r w:rsidR="4B774E0D" w:rsidRPr="004912FE">
        <w:t xml:space="preserve"> note 1</w:t>
      </w:r>
      <w:r w:rsidR="005B31A6">
        <w:t>80</w:t>
      </w:r>
      <w:r w:rsidR="4B774E0D" w:rsidRPr="006B1B4B">
        <w:t>.</w:t>
      </w:r>
    </w:p>
  </w:footnote>
  <w:footnote w:id="190">
    <w:p w14:paraId="1C39C1BF" w14:textId="504515B4" w:rsidR="0004402C" w:rsidRPr="0004402C" w:rsidRDefault="0004402C" w:rsidP="00923377">
      <w:pPr>
        <w:pStyle w:val="FootNotePara"/>
        <w:suppressAutoHyphens/>
      </w:pPr>
      <w:r w:rsidRPr="003B2233">
        <w:footnoteRef/>
      </w:r>
      <w:r w:rsidR="003B2233">
        <w:t>.</w:t>
      </w:r>
      <w:r w:rsidR="006A1020" w:rsidRPr="003B2233">
        <w:t xml:space="preserve"> </w:t>
      </w:r>
      <w:r w:rsidRPr="0004402C">
        <w:rPr>
          <w:i/>
          <w:iCs/>
        </w:rPr>
        <w:tab/>
      </w:r>
      <w:r w:rsidR="4B774E0D" w:rsidRPr="00B3355E">
        <w:rPr>
          <w:i/>
        </w:rPr>
        <w:t>Id</w:t>
      </w:r>
      <w:r w:rsidR="4B774E0D" w:rsidRPr="00B3355E">
        <w:t xml:space="preserve">; </w:t>
      </w:r>
      <w:r w:rsidR="4B774E0D" w:rsidRPr="00B3355E">
        <w:rPr>
          <w:i/>
        </w:rPr>
        <w:t>PhotoDNA</w:t>
      </w:r>
      <w:r w:rsidR="4B774E0D" w:rsidRPr="00B3355E">
        <w:t xml:space="preserve">, </w:t>
      </w:r>
      <w:r w:rsidR="4B774E0D" w:rsidRPr="00B3355E">
        <w:rPr>
          <w:smallCaps/>
        </w:rPr>
        <w:t>Microsoft</w:t>
      </w:r>
      <w:r w:rsidR="4B774E0D" w:rsidRPr="00B3355E">
        <w:t>,</w:t>
      </w:r>
      <w:r w:rsidRPr="00B3355E">
        <w:t xml:space="preserve"> https://www.microsoft.com/en-us/photodna</w:t>
      </w:r>
      <w:r w:rsidR="4B774E0D" w:rsidRPr="4B774E0D">
        <w:t xml:space="preserve"> </w:t>
      </w:r>
      <w:r w:rsidR="001E05FD">
        <w:t>[</w:t>
      </w:r>
      <w:r w:rsidR="4B774E0D" w:rsidRPr="4B774E0D">
        <w:t>https://perma.cc/PS8N-7LZK</w:t>
      </w:r>
      <w:r w:rsidR="001E05FD">
        <w:t>]</w:t>
      </w:r>
      <w:r w:rsidR="4B774E0D" w:rsidRPr="00B3355E">
        <w:t xml:space="preserve"> (last visited Mar. 22, 2023) (“PhotoDNA creates a unique digital signature (known as a ‘hash’) of an image which is then compared against signatures (hashes) of other photos to find copies of the same image. When matched with a database containing hashes of previously identified illegal images, PhotoDNA is an incredible tool to help detect, disrupt and report the distribution of child exploitation material. PhotoDNA is not facial recognition software and cannot be used to identify a person or object in an image. A PhotoDNA hash is not reversible, and therefore cannot be used to recreate an image.”).</w:t>
      </w:r>
    </w:p>
  </w:footnote>
  <w:footnote w:id="191">
    <w:p w14:paraId="6ECA75DB" w14:textId="2C68AC68" w:rsidR="0004402C" w:rsidRPr="0004402C" w:rsidRDefault="0004402C" w:rsidP="00923377">
      <w:pPr>
        <w:pStyle w:val="FootNotePara"/>
        <w:suppressAutoHyphens/>
      </w:pPr>
      <w:r w:rsidRPr="003B2233">
        <w:footnoteRef/>
      </w:r>
      <w:r w:rsidR="003B2233">
        <w:t>.</w:t>
      </w:r>
      <w:r w:rsidR="00666356" w:rsidRPr="003B2233">
        <w:t xml:space="preserve"> </w:t>
      </w:r>
      <w:r w:rsidRPr="003B2233">
        <w:tab/>
      </w:r>
      <w:r w:rsidR="4B774E0D" w:rsidRPr="004835C8">
        <w:t>GitHub</w:t>
      </w:r>
      <w:r w:rsidR="004835C8">
        <w:t>,</w:t>
      </w:r>
      <w:r w:rsidR="4B774E0D" w:rsidRPr="00792272">
        <w:t xml:space="preserve"> </w:t>
      </w:r>
      <w:r w:rsidR="4B774E0D" w:rsidRPr="00792272">
        <w:rPr>
          <w:i/>
        </w:rPr>
        <w:t>supra</w:t>
      </w:r>
      <w:r w:rsidR="4B774E0D" w:rsidRPr="00792272">
        <w:t xml:space="preserve"> note </w:t>
      </w:r>
      <w:r w:rsidR="00507073">
        <w:t>181</w:t>
      </w:r>
      <w:r w:rsidR="4B774E0D" w:rsidRPr="006B1B4B">
        <w:t>, at 7–8.</w:t>
      </w:r>
    </w:p>
  </w:footnote>
  <w:footnote w:id="192">
    <w:p w14:paraId="6818389C" w14:textId="51D9D261" w:rsidR="0004402C" w:rsidRPr="0004402C" w:rsidRDefault="0004402C" w:rsidP="00923377">
      <w:pPr>
        <w:pStyle w:val="FootNotePara"/>
        <w:suppressAutoHyphens/>
      </w:pPr>
      <w:r w:rsidRPr="003B2233">
        <w:footnoteRef/>
      </w:r>
      <w:r w:rsidR="003B2233">
        <w:t>.</w:t>
      </w:r>
      <w:r w:rsidR="00666356" w:rsidRPr="003B2233">
        <w:t xml:space="preserve"> </w:t>
      </w:r>
      <w:r w:rsidRPr="0004402C">
        <w:tab/>
      </w:r>
      <w:r w:rsidR="4B774E0D" w:rsidRPr="00666356">
        <w:t xml:space="preserve">Xu, </w:t>
      </w:r>
      <w:r w:rsidR="4B774E0D" w:rsidRPr="00666356">
        <w:rPr>
          <w:i/>
        </w:rPr>
        <w:t>supra</w:t>
      </w:r>
      <w:r w:rsidR="4B774E0D" w:rsidRPr="00666356">
        <w:t xml:space="preserve"> note 1</w:t>
      </w:r>
      <w:r w:rsidR="00E938A6">
        <w:t>80</w:t>
      </w:r>
      <w:r w:rsidR="4B774E0D" w:rsidRPr="006B1B4B">
        <w:t>.</w:t>
      </w:r>
    </w:p>
  </w:footnote>
  <w:footnote w:id="193">
    <w:p w14:paraId="0440A1A6" w14:textId="50651B6C" w:rsidR="0004402C" w:rsidRPr="0004402C" w:rsidRDefault="0004402C" w:rsidP="00923377">
      <w:pPr>
        <w:pStyle w:val="FootNotePara"/>
        <w:suppressAutoHyphens/>
      </w:pPr>
      <w:r w:rsidRPr="003B2233">
        <w:footnoteRef/>
      </w:r>
      <w:r w:rsidR="003B2233">
        <w:rPr>
          <w:iCs/>
        </w:rPr>
        <w:t>.</w:t>
      </w:r>
      <w:r w:rsidR="00666356" w:rsidRPr="00666356">
        <w:t xml:space="preserve"> </w:t>
      </w:r>
      <w:r w:rsidRPr="0004402C">
        <w:rPr>
          <w:i/>
          <w:iCs/>
        </w:rPr>
        <w:tab/>
      </w:r>
      <w:r w:rsidR="4B774E0D" w:rsidRPr="00666356">
        <w:rPr>
          <w:i/>
        </w:rPr>
        <w:t>About community management &amp; moderation</w:t>
      </w:r>
      <w:r w:rsidR="4B774E0D" w:rsidRPr="00666356">
        <w:t xml:space="preserve">, </w:t>
      </w:r>
      <w:r w:rsidR="4B774E0D" w:rsidRPr="00666356">
        <w:rPr>
          <w:smallCaps/>
        </w:rPr>
        <w:t>GitHub</w:t>
      </w:r>
      <w:r w:rsidR="4B774E0D" w:rsidRPr="00666356">
        <w:t xml:space="preserve">, </w:t>
      </w:r>
      <w:r w:rsidRPr="00666356">
        <w:t>https://docs.github.com/en/communities/setting-up-your-project-for-healthy-contributions/about-community-management-and-moderation</w:t>
      </w:r>
      <w:r w:rsidR="4B774E0D" w:rsidRPr="4B774E0D">
        <w:t xml:space="preserve"> </w:t>
      </w:r>
      <w:r w:rsidR="001D12A1">
        <w:t>[</w:t>
      </w:r>
      <w:r w:rsidR="4B774E0D" w:rsidRPr="4B774E0D">
        <w:t>https://perma.cc/TLB6-NRVY</w:t>
      </w:r>
      <w:r w:rsidR="001D12A1">
        <w:t>]</w:t>
      </w:r>
      <w:r w:rsidR="4B774E0D" w:rsidRPr="001D12A1">
        <w:t xml:space="preserve"> </w:t>
      </w:r>
      <w:r w:rsidR="4B774E0D" w:rsidRPr="00831A79">
        <w:t>(last visited Mar. 22, 2023).</w:t>
      </w:r>
    </w:p>
  </w:footnote>
  <w:footnote w:id="194">
    <w:p w14:paraId="3E862323" w14:textId="39717367" w:rsidR="0004402C" w:rsidRPr="0004402C" w:rsidRDefault="0004402C" w:rsidP="00923377">
      <w:pPr>
        <w:pStyle w:val="FootNotePara"/>
        <w:suppressAutoHyphens/>
      </w:pPr>
      <w:r w:rsidRPr="003B2233">
        <w:footnoteRef/>
      </w:r>
      <w:r w:rsidR="003B2233">
        <w:t>.</w:t>
      </w:r>
      <w:r w:rsidR="005F3190" w:rsidRPr="003B2233">
        <w:t xml:space="preserve"> </w:t>
      </w:r>
      <w:r w:rsidRPr="0004402C">
        <w:rPr>
          <w:rFonts w:cs="Times New Roman (Body CS)"/>
        </w:rPr>
        <w:tab/>
      </w:r>
      <w:r w:rsidR="4B774E0D" w:rsidRPr="00EB216B">
        <w:rPr>
          <w:smallCaps/>
        </w:rPr>
        <w:t>Eghbal</w:t>
      </w:r>
      <w:r w:rsidR="4B774E0D" w:rsidRPr="000B7516">
        <w:t xml:space="preserve">, </w:t>
      </w:r>
      <w:r w:rsidR="4B774E0D" w:rsidRPr="000B7516">
        <w:rPr>
          <w:i/>
        </w:rPr>
        <w:t>supra</w:t>
      </w:r>
      <w:r w:rsidR="4B774E0D" w:rsidRPr="000B7516">
        <w:t xml:space="preserve"> note 4</w:t>
      </w:r>
      <w:r w:rsidR="4B774E0D" w:rsidRPr="006B1B4B">
        <w:t>5, at 12.</w:t>
      </w:r>
    </w:p>
  </w:footnote>
  <w:footnote w:id="195">
    <w:p w14:paraId="3AFEDAA5" w14:textId="06AD17A9" w:rsidR="0004402C" w:rsidRPr="0004402C" w:rsidRDefault="0004402C" w:rsidP="00923377">
      <w:pPr>
        <w:pStyle w:val="FootNotePara"/>
        <w:suppressAutoHyphens/>
      </w:pPr>
      <w:r w:rsidRPr="003B2233">
        <w:footnoteRef/>
      </w:r>
      <w:r w:rsidR="003B2233">
        <w:t>.</w:t>
      </w:r>
      <w:r w:rsidR="005F3190" w:rsidRPr="003B2233">
        <w:t xml:space="preserve"> </w:t>
      </w:r>
      <w:r w:rsidR="4B774E0D" w:rsidRPr="000B7516">
        <w:t xml:space="preserve">Koc &amp; Tansel, </w:t>
      </w:r>
      <w:r w:rsidR="4B774E0D" w:rsidRPr="000B7516">
        <w:rPr>
          <w:i/>
        </w:rPr>
        <w:t>supra</w:t>
      </w:r>
      <w:r w:rsidR="4B774E0D" w:rsidRPr="000B7516">
        <w:t xml:space="preserve"> note </w:t>
      </w:r>
      <w:r w:rsidR="001618B3">
        <w:t>22</w:t>
      </w:r>
      <w:r w:rsidR="4B774E0D" w:rsidRPr="006B1B4B">
        <w:t>, at 1.</w:t>
      </w:r>
    </w:p>
  </w:footnote>
  <w:footnote w:id="196">
    <w:p w14:paraId="5E16B91E" w14:textId="0A9B6638" w:rsidR="0004402C" w:rsidRPr="0004402C" w:rsidRDefault="0004402C" w:rsidP="00923377">
      <w:pPr>
        <w:pStyle w:val="FootNotePara"/>
        <w:suppressAutoHyphens/>
      </w:pPr>
      <w:r w:rsidRPr="003B2233">
        <w:footnoteRef/>
      </w:r>
      <w:r w:rsidR="003B2233">
        <w:t>.</w:t>
      </w:r>
      <w:r w:rsidR="008D74AF" w:rsidRPr="003B2233">
        <w:t xml:space="preserve"> </w:t>
      </w:r>
      <w:r w:rsidRPr="0004402C">
        <w:tab/>
      </w:r>
      <w:r w:rsidRPr="006B1B4B">
        <w:t>DSA</w:t>
      </w:r>
      <w:r w:rsidR="4B774E0D" w:rsidRPr="006B1B4B">
        <w:t xml:space="preserve">, </w:t>
      </w:r>
      <w:r w:rsidR="4B774E0D" w:rsidRPr="006B1B4B">
        <w:rPr>
          <w:i/>
        </w:rPr>
        <w:t>supra</w:t>
      </w:r>
      <w:r w:rsidR="4B774E0D" w:rsidRPr="006B1B4B">
        <w:t xml:space="preserve"> note 16</w:t>
      </w:r>
      <w:r w:rsidR="005745DF">
        <w:t>6</w:t>
      </w:r>
      <w:r w:rsidR="4B774E0D" w:rsidRPr="006B1B4B">
        <w:t>, at 2.</w:t>
      </w:r>
    </w:p>
  </w:footnote>
  <w:footnote w:id="197">
    <w:p w14:paraId="28C89130" w14:textId="55DFED31" w:rsidR="0004402C" w:rsidRPr="0004402C" w:rsidRDefault="0004402C" w:rsidP="00923377">
      <w:pPr>
        <w:pStyle w:val="FootNotePara"/>
        <w:suppressAutoHyphens/>
      </w:pPr>
      <w:r w:rsidRPr="003B2233">
        <w:footnoteRef/>
      </w:r>
      <w:r w:rsidR="003B2233">
        <w:t>.</w:t>
      </w:r>
      <w:r w:rsidR="000007A7" w:rsidRPr="003B2233">
        <w:t xml:space="preserve"> </w:t>
      </w:r>
      <w:r w:rsidRPr="0004402C">
        <w:rPr>
          <w:i/>
          <w:iCs/>
        </w:rPr>
        <w:tab/>
      </w:r>
      <w:r w:rsidR="4B774E0D" w:rsidRPr="000007A7">
        <w:rPr>
          <w:i/>
        </w:rPr>
        <w:t>Platform Responsibility</w:t>
      </w:r>
      <w:r w:rsidR="4B774E0D" w:rsidRPr="000007A7">
        <w:t xml:space="preserve">, </w:t>
      </w:r>
      <w:r w:rsidR="4B774E0D" w:rsidRPr="000007A7">
        <w:rPr>
          <w:smallCaps/>
        </w:rPr>
        <w:t>GitHub</w:t>
      </w:r>
      <w:r w:rsidR="4B774E0D" w:rsidRPr="000007A7">
        <w:t xml:space="preserve">, </w:t>
      </w:r>
      <w:r w:rsidRPr="000007A7">
        <w:t>https://github.com/github/developer-policy/blob/main/issue-areas/platform-responsibility.md</w:t>
      </w:r>
      <w:r w:rsidR="4B774E0D" w:rsidRPr="4B774E0D">
        <w:t xml:space="preserve"> </w:t>
      </w:r>
      <w:r w:rsidR="007F4DF8">
        <w:t>[</w:t>
      </w:r>
      <w:r w:rsidR="4B774E0D" w:rsidRPr="4B774E0D">
        <w:t>https://perma.cc/A2Z9-77UW</w:t>
      </w:r>
      <w:r w:rsidR="007F4DF8">
        <w:t>]</w:t>
      </w:r>
      <w:r w:rsidR="4B774E0D" w:rsidRPr="000007A7">
        <w:t xml:space="preserve"> (last visited </w:t>
      </w:r>
      <w:r w:rsidR="00F62ECE">
        <w:t>Dec</w:t>
      </w:r>
      <w:r w:rsidR="4B774E0D" w:rsidRPr="000007A7">
        <w:t>. 2</w:t>
      </w:r>
      <w:r w:rsidR="00F62ECE">
        <w:t>3</w:t>
      </w:r>
      <w:r w:rsidR="4B774E0D" w:rsidRPr="000007A7">
        <w:t>, 202</w:t>
      </w:r>
      <w:r w:rsidR="00F62ECE">
        <w:t>4</w:t>
      </w:r>
      <w:r w:rsidR="4B774E0D" w:rsidRPr="000007A7">
        <w:t>).</w:t>
      </w:r>
    </w:p>
  </w:footnote>
  <w:footnote w:id="198">
    <w:p w14:paraId="31769762" w14:textId="587B2737" w:rsidR="0004402C" w:rsidRPr="0004402C" w:rsidRDefault="0004402C" w:rsidP="00923377">
      <w:pPr>
        <w:pStyle w:val="FootNotePara"/>
        <w:suppressAutoHyphens/>
      </w:pPr>
      <w:r w:rsidRPr="003B2233">
        <w:footnoteRef/>
      </w:r>
      <w:r w:rsidR="003B2233">
        <w:t>.</w:t>
      </w:r>
      <w:r w:rsidR="007946E4">
        <w:t xml:space="preserve"> </w:t>
      </w:r>
      <w:r w:rsidR="4B774E0D" w:rsidRPr="00543C13">
        <w:rPr>
          <w:i/>
        </w:rPr>
        <w:t xml:space="preserve">GitHub Transparency </w:t>
      </w:r>
      <w:r w:rsidR="00C27902">
        <w:rPr>
          <w:i/>
        </w:rPr>
        <w:t>Center</w:t>
      </w:r>
      <w:r w:rsidR="4B774E0D" w:rsidRPr="00543C13">
        <w:t xml:space="preserve">, </w:t>
      </w:r>
      <w:r w:rsidR="4B774E0D" w:rsidRPr="00543C13">
        <w:rPr>
          <w:smallCaps/>
        </w:rPr>
        <w:t>GitHub</w:t>
      </w:r>
      <w:r w:rsidR="4B774E0D" w:rsidRPr="00543C13">
        <w:t xml:space="preserve">, </w:t>
      </w:r>
      <w:r w:rsidR="00C27902" w:rsidRPr="00C27902">
        <w:t>https://transparencycenter.github.com/</w:t>
      </w:r>
      <w:r w:rsidR="4B774E0D" w:rsidRPr="00543C13">
        <w:t xml:space="preserve"> </w:t>
      </w:r>
      <w:r w:rsidR="00400D4F">
        <w:t>[</w:t>
      </w:r>
      <w:r w:rsidR="00C05DE9" w:rsidRPr="00C05DE9">
        <w:t>https://</w:t>
      </w:r>
      <w:r w:rsidR="00400D4F" w:rsidRPr="00C05DE9">
        <w:t>perma.cc</w:t>
      </w:r>
      <w:r w:rsidR="00C05DE9" w:rsidRPr="00C05DE9">
        <w:t>/679X-VZZD</w:t>
      </w:r>
      <w:r w:rsidR="00400D4F">
        <w:t xml:space="preserve">] </w:t>
      </w:r>
      <w:r w:rsidR="4B774E0D" w:rsidRPr="00543C13">
        <w:t xml:space="preserve">(last visited </w:t>
      </w:r>
      <w:r w:rsidR="00DF7933">
        <w:t>Dec</w:t>
      </w:r>
      <w:r w:rsidR="4B774E0D" w:rsidRPr="00543C13">
        <w:t>. 2</w:t>
      </w:r>
      <w:r w:rsidR="00DF7933">
        <w:t>3</w:t>
      </w:r>
      <w:r w:rsidR="4B774E0D" w:rsidRPr="00543C13">
        <w:t>, 202</w:t>
      </w:r>
      <w:r w:rsidR="00DF7933">
        <w:t>4</w:t>
      </w:r>
      <w:r w:rsidR="4B774E0D" w:rsidRPr="00543C13">
        <w:t>).</w:t>
      </w:r>
    </w:p>
  </w:footnote>
  <w:footnote w:id="199">
    <w:p w14:paraId="2D9A663E" w14:textId="27F14950" w:rsidR="0004402C" w:rsidRPr="0004402C" w:rsidRDefault="0004402C" w:rsidP="00923377">
      <w:pPr>
        <w:pStyle w:val="FootNotePara"/>
        <w:suppressAutoHyphens/>
      </w:pPr>
      <w:r w:rsidRPr="003B2233">
        <w:footnoteRef/>
      </w:r>
      <w:r w:rsidR="003B2233">
        <w:t>.</w:t>
      </w:r>
      <w:r w:rsidR="007D0437" w:rsidRPr="003B2233">
        <w:t xml:space="preserve"> </w:t>
      </w:r>
      <w:r w:rsidRPr="0004402C">
        <w:rPr>
          <w:i/>
          <w:iCs/>
        </w:rPr>
        <w:tab/>
      </w:r>
      <w:r w:rsidR="4B774E0D" w:rsidRPr="003C0BFB">
        <w:rPr>
          <w:i/>
        </w:rPr>
        <w:t>GitHub Copilot</w:t>
      </w:r>
      <w:r w:rsidR="4B774E0D" w:rsidRPr="003C0BFB">
        <w:t xml:space="preserve">, </w:t>
      </w:r>
      <w:r w:rsidR="4B774E0D" w:rsidRPr="003C0BFB">
        <w:rPr>
          <w:smallCaps/>
        </w:rPr>
        <w:t>GitHub</w:t>
      </w:r>
      <w:r w:rsidR="4B774E0D" w:rsidRPr="003C0BFB">
        <w:t xml:space="preserve">, </w:t>
      </w:r>
      <w:r w:rsidRPr="003C0BFB">
        <w:t>https://github.com/features/copilot</w:t>
      </w:r>
      <w:r w:rsidR="4B774E0D" w:rsidRPr="4B774E0D">
        <w:t xml:space="preserve"> </w:t>
      </w:r>
      <w:r w:rsidR="00065886">
        <w:t>[</w:t>
      </w:r>
      <w:r w:rsidR="4B774E0D" w:rsidRPr="4B774E0D">
        <w:t>https://perma.cc/EG7M-YNMY</w:t>
      </w:r>
      <w:r w:rsidR="00065886">
        <w:t>]</w:t>
      </w:r>
      <w:r w:rsidR="4B774E0D" w:rsidRPr="00FF0C0D">
        <w:t xml:space="preserve"> (last visited </w:t>
      </w:r>
      <w:r w:rsidR="00065886">
        <w:t>Dec</w:t>
      </w:r>
      <w:r w:rsidR="4B774E0D" w:rsidRPr="00FF0C0D">
        <w:t>. 2</w:t>
      </w:r>
      <w:r w:rsidR="00065886">
        <w:t>3</w:t>
      </w:r>
      <w:r w:rsidR="4B774E0D" w:rsidRPr="00FF0C0D">
        <w:t>, 202</w:t>
      </w:r>
      <w:r w:rsidR="00065886">
        <w:t>4</w:t>
      </w:r>
      <w:r w:rsidR="4B774E0D" w:rsidRPr="00FF0C0D">
        <w:t>).</w:t>
      </w:r>
    </w:p>
  </w:footnote>
  <w:footnote w:id="200">
    <w:p w14:paraId="1751119F" w14:textId="029AAD0D" w:rsidR="0004402C" w:rsidRPr="0004402C" w:rsidRDefault="0004402C" w:rsidP="00923377">
      <w:pPr>
        <w:pStyle w:val="FootNotePara"/>
        <w:suppressAutoHyphens/>
      </w:pPr>
      <w:r w:rsidRPr="003B2233">
        <w:footnoteRef/>
      </w:r>
      <w:r w:rsidR="003B2233">
        <w:t>.</w:t>
      </w:r>
      <w:r w:rsidR="00C91872" w:rsidRPr="003B2233">
        <w:t xml:space="preserve"> </w:t>
      </w:r>
      <w:r w:rsidR="4B774E0D" w:rsidRPr="006B1B4B">
        <w:rPr>
          <w:i/>
        </w:rPr>
        <w:t>National Cybersecurity Strategy</w:t>
      </w:r>
      <w:r w:rsidR="4B774E0D" w:rsidRPr="006B1B4B">
        <w:t xml:space="preserve">, </w:t>
      </w:r>
      <w:r w:rsidR="4B774E0D" w:rsidRPr="006B1B4B">
        <w:rPr>
          <w:i/>
        </w:rPr>
        <w:t xml:space="preserve">supra </w:t>
      </w:r>
      <w:r w:rsidR="4B774E0D" w:rsidRPr="006B1B4B">
        <w:t>note 11</w:t>
      </w:r>
      <w:r w:rsidR="004E4C96">
        <w:t>6</w:t>
      </w:r>
      <w:r w:rsidR="4B774E0D" w:rsidRPr="006B1B4B">
        <w:t xml:space="preserve">, at 20–21; Kathleen A. McGee et al., </w:t>
      </w:r>
      <w:r w:rsidR="4B774E0D" w:rsidRPr="006B1B4B">
        <w:rPr>
          <w:i/>
        </w:rPr>
        <w:t>Biden Administration Aims to Shift Liability for Cyberattacks to Software Developers</w:t>
      </w:r>
      <w:r w:rsidR="4B774E0D" w:rsidRPr="006B1B4B">
        <w:t xml:space="preserve">, </w:t>
      </w:r>
      <w:r w:rsidR="4B774E0D" w:rsidRPr="006B1B4B">
        <w:rPr>
          <w:smallCaps/>
        </w:rPr>
        <w:t>Lowenstein Sandler</w:t>
      </w:r>
      <w:r w:rsidR="4B774E0D" w:rsidRPr="006B1B4B">
        <w:t xml:space="preserve"> (Apr. 11, 2023), </w:t>
      </w:r>
      <w:r w:rsidRPr="006B1B4B">
        <w:t>https://www.lowenstein.com/news-insights/publications/client-alerts/biden-administration-aims-to-shift-liability-for-cyberattacks-to-software-developers-privacy</w:t>
      </w:r>
      <w:r w:rsidR="4B774E0D" w:rsidRPr="4B774E0D">
        <w:t xml:space="preserve"> </w:t>
      </w:r>
      <w:r w:rsidR="00BA0809">
        <w:t>[</w:t>
      </w:r>
      <w:r w:rsidR="4B774E0D" w:rsidRPr="4B774E0D">
        <w:t>https://perma.cc/8YWR-V292</w:t>
      </w:r>
      <w:r w:rsidR="00BA0809">
        <w:t>].</w:t>
      </w:r>
    </w:p>
  </w:footnote>
  <w:footnote w:id="201">
    <w:p w14:paraId="1C1DC3FA" w14:textId="2664C307" w:rsidR="0004402C" w:rsidRPr="0004402C" w:rsidRDefault="0004402C" w:rsidP="00923377">
      <w:pPr>
        <w:pStyle w:val="FootNotePara"/>
        <w:suppressAutoHyphens/>
      </w:pPr>
      <w:r w:rsidRPr="003B2233">
        <w:footnoteRef/>
      </w:r>
      <w:r w:rsidR="003B2233">
        <w:t>.</w:t>
      </w:r>
      <w:r w:rsidR="0002462C" w:rsidRPr="003B2233">
        <w:t xml:space="preserve"> </w:t>
      </w:r>
      <w:r w:rsidR="0002462C" w:rsidRPr="006B1B4B">
        <w:rPr>
          <w:i/>
        </w:rPr>
        <w:t>National Cybersecurity Strategy</w:t>
      </w:r>
      <w:r w:rsidR="0002462C" w:rsidRPr="006B1B4B">
        <w:t xml:space="preserve">, </w:t>
      </w:r>
      <w:r w:rsidR="0002462C" w:rsidRPr="006B1B4B">
        <w:rPr>
          <w:i/>
        </w:rPr>
        <w:t xml:space="preserve">supra </w:t>
      </w:r>
      <w:r w:rsidR="0002462C" w:rsidRPr="006B1B4B">
        <w:t>note 11</w:t>
      </w:r>
      <w:r w:rsidR="004E4C96">
        <w:t>6</w:t>
      </w:r>
      <w:r w:rsidR="0002462C" w:rsidRPr="006B1B4B">
        <w:t>, at 21</w:t>
      </w:r>
      <w:r w:rsidR="0002462C">
        <w:t>.</w:t>
      </w:r>
    </w:p>
  </w:footnote>
  <w:footnote w:id="202">
    <w:p w14:paraId="3CF3FEAD" w14:textId="49C5052F" w:rsidR="0004402C" w:rsidRPr="0004402C" w:rsidRDefault="0004402C" w:rsidP="00923377">
      <w:pPr>
        <w:pStyle w:val="FootNotePara"/>
        <w:suppressAutoHyphens/>
      </w:pPr>
      <w:r w:rsidRPr="003B2233">
        <w:footnoteRef/>
      </w:r>
      <w:r w:rsidR="003B2233">
        <w:t>.</w:t>
      </w:r>
      <w:r w:rsidR="00A93411" w:rsidRPr="003B2233">
        <w:t xml:space="preserve"> </w:t>
      </w:r>
      <w:r w:rsidR="4B774E0D" w:rsidRPr="00A93411">
        <w:rPr>
          <w:i/>
        </w:rPr>
        <w:t>Id.</w:t>
      </w:r>
    </w:p>
  </w:footnote>
  <w:footnote w:id="203">
    <w:p w14:paraId="777DF6CE" w14:textId="568BBC56" w:rsidR="0004402C" w:rsidRPr="0004402C" w:rsidRDefault="0004402C" w:rsidP="00923377">
      <w:pPr>
        <w:pStyle w:val="FootNotePara"/>
        <w:suppressAutoHyphens/>
      </w:pPr>
      <w:r w:rsidRPr="003B2233">
        <w:footnoteRef/>
      </w:r>
      <w:r w:rsidR="003B2233">
        <w:t>.</w:t>
      </w:r>
      <w:r w:rsidR="00A93411" w:rsidRPr="003B2233">
        <w:t xml:space="preserve"> </w:t>
      </w:r>
      <w:r w:rsidR="4B774E0D" w:rsidRPr="00A93411">
        <w:rPr>
          <w:i/>
        </w:rPr>
        <w:t>Id.</w:t>
      </w:r>
    </w:p>
  </w:footnote>
  <w:footnote w:id="204">
    <w:p w14:paraId="36723360" w14:textId="0CEC0BC2" w:rsidR="0004402C" w:rsidRPr="0004402C" w:rsidRDefault="0004402C" w:rsidP="00923377">
      <w:pPr>
        <w:pStyle w:val="FootNotePara"/>
        <w:suppressAutoHyphens/>
      </w:pPr>
      <w:r w:rsidRPr="003B2233">
        <w:footnoteRef/>
      </w:r>
      <w:r w:rsidR="003B2233">
        <w:rPr>
          <w:iCs/>
        </w:rPr>
        <w:t>.</w:t>
      </w:r>
      <w:r w:rsidR="00625668" w:rsidRPr="00625668">
        <w:t xml:space="preserve"> </w:t>
      </w:r>
      <w:r w:rsidR="4B774E0D" w:rsidRPr="006B1B4B">
        <w:rPr>
          <w:i/>
        </w:rPr>
        <w:t>Id.</w:t>
      </w:r>
    </w:p>
  </w:footnote>
  <w:footnote w:id="205">
    <w:p w14:paraId="5629AAFD" w14:textId="12602159" w:rsidR="0004402C" w:rsidRPr="0004402C" w:rsidRDefault="0004402C" w:rsidP="00923377">
      <w:pPr>
        <w:pStyle w:val="FootNotePara"/>
        <w:suppressAutoHyphens/>
      </w:pPr>
      <w:r w:rsidRPr="003B2233">
        <w:footnoteRef/>
      </w:r>
      <w:r w:rsidR="003B2233">
        <w:t>.</w:t>
      </w:r>
      <w:r w:rsidR="00625668" w:rsidRPr="003B2233">
        <w:t xml:space="preserve"> </w:t>
      </w:r>
      <w:r w:rsidRPr="0004402C">
        <w:tab/>
      </w:r>
      <w:r w:rsidR="4B774E0D" w:rsidRPr="00625668">
        <w:t xml:space="preserve">McKinley, </w:t>
      </w:r>
      <w:r w:rsidR="4B774E0D" w:rsidRPr="00625668">
        <w:rPr>
          <w:i/>
        </w:rPr>
        <w:t>supra</w:t>
      </w:r>
      <w:r w:rsidR="4B774E0D" w:rsidRPr="00625668">
        <w:t xml:space="preserve"> note 11</w:t>
      </w:r>
      <w:r w:rsidR="003E2B9B">
        <w:t>7</w:t>
      </w:r>
      <w:r w:rsidR="4B774E0D" w:rsidRPr="006B1B4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2AB1" w14:textId="6F9A565B" w:rsidR="001808CC" w:rsidRPr="001C12CF" w:rsidRDefault="00147C85" w:rsidP="001B45A3">
    <w:pPr>
      <w:pStyle w:val="header0"/>
    </w:pPr>
    <w:r>
      <w:rPr>
        <w:noProof/>
      </w:rPr>
      <w:fldChar w:fldCharType="begin"/>
    </w:r>
    <w:r>
      <w:rPr>
        <w:noProof/>
      </w:rPr>
      <w:instrText>FILENAME   \* MERGEFORMAT</w:instrText>
    </w:r>
    <w:r>
      <w:rPr>
        <w:noProof/>
      </w:rPr>
      <w:fldChar w:fldCharType="separate"/>
    </w:r>
    <w:r w:rsidR="005B2884">
      <w:rPr>
        <w:noProof/>
      </w:rPr>
      <w:t>CTLJ_Final Round_Cheng_Code as Content</w:t>
    </w:r>
    <w:r>
      <w:rPr>
        <w:noProof/>
      </w:rPr>
      <w:fldChar w:fldCharType="end"/>
    </w:r>
    <w:r w:rsidR="001808CC" w:rsidRPr="001C12CF">
      <w:t xml:space="preserve"> (Do Not Delete)</w:t>
    </w:r>
    <w:r w:rsidR="001808CC" w:rsidRPr="001C12CF">
      <w:tab/>
    </w:r>
    <w:r w:rsidR="00D863E6">
      <w:fldChar w:fldCharType="begin"/>
    </w:r>
    <w:r w:rsidR="00D863E6">
      <w:instrText>DATE</w:instrText>
    </w:r>
    <w:r w:rsidR="00D863E6">
      <w:fldChar w:fldCharType="separate"/>
    </w:r>
    <w:r w:rsidR="005B2884">
      <w:rPr>
        <w:noProof/>
      </w:rPr>
      <w:t>8/26/2025</w:t>
    </w:r>
    <w:r w:rsidR="00D863E6">
      <w:fldChar w:fldCharType="end"/>
    </w:r>
    <w:r w:rsidR="001808CC" w:rsidRPr="001C12CF">
      <w:t xml:space="preserve">  </w:t>
    </w:r>
    <w:r w:rsidR="00D863E6">
      <w:fldChar w:fldCharType="begin"/>
    </w:r>
    <w:r w:rsidR="00D863E6">
      <w:instrText>TIME</w:instrText>
    </w:r>
    <w:r w:rsidR="00D863E6">
      <w:fldChar w:fldCharType="separate"/>
    </w:r>
    <w:r w:rsidR="005B2884">
      <w:rPr>
        <w:noProof/>
      </w:rPr>
      <w:t>10:40 AM</w:t>
    </w:r>
    <w:r w:rsidR="00D863E6">
      <w:fldChar w:fldCharType="end"/>
    </w:r>
  </w:p>
  <w:p w14:paraId="5E73A942" w14:textId="72D6488A" w:rsidR="001808CC" w:rsidRPr="00864D8C" w:rsidRDefault="001808CC">
    <w:pPr>
      <w:pStyle w:val="Header"/>
      <w:tabs>
        <w:tab w:val="clear" w:pos="4320"/>
        <w:tab w:val="clear" w:pos="8640"/>
        <w:tab w:val="center" w:pos="3240"/>
        <w:tab w:val="right" w:pos="6480"/>
      </w:tabs>
      <w:spacing w:before="720" w:after="260" w:line="240" w:lineRule="exact"/>
      <w:jc w:val="both"/>
      <w:rPr>
        <w:sz w:val="13"/>
      </w:rPr>
    </w:pPr>
    <w:r w:rsidRPr="00864D8C">
      <w:rPr>
        <w:rStyle w:val="PageNumber"/>
        <w:sz w:val="13"/>
      </w:rPr>
      <w:fldChar w:fldCharType="begin"/>
    </w:r>
    <w:r w:rsidRPr="00864D8C">
      <w:rPr>
        <w:rStyle w:val="PageNumber"/>
        <w:sz w:val="13"/>
      </w:rPr>
      <w:instrText xml:space="preserve"> PAGE </w:instrText>
    </w:r>
    <w:r w:rsidRPr="00864D8C">
      <w:rPr>
        <w:rStyle w:val="PageNumber"/>
        <w:sz w:val="13"/>
      </w:rPr>
      <w:fldChar w:fldCharType="separate"/>
    </w:r>
    <w:r w:rsidR="0079728D" w:rsidRPr="00864D8C">
      <w:rPr>
        <w:rStyle w:val="PageNumber"/>
        <w:noProof/>
        <w:sz w:val="13"/>
      </w:rPr>
      <w:t>104</w:t>
    </w:r>
    <w:r w:rsidRPr="00864D8C">
      <w:rPr>
        <w:rStyle w:val="PageNumber"/>
        <w:sz w:val="13"/>
      </w:rPr>
      <w:fldChar w:fldCharType="end"/>
    </w:r>
    <w:r w:rsidRPr="00864D8C">
      <w:rPr>
        <w:rStyle w:val="PageNumber"/>
        <w:sz w:val="13"/>
      </w:rPr>
      <w:tab/>
    </w:r>
    <w:r w:rsidRPr="00E44149">
      <w:rPr>
        <w:rStyle w:val="PageNumber"/>
        <w:i/>
        <w:iCs/>
        <w:caps/>
        <w:sz w:val="13"/>
      </w:rPr>
      <w:t>COLO. TECH. L.J.</w:t>
    </w:r>
    <w:r w:rsidRPr="00864D8C">
      <w:rPr>
        <w:rStyle w:val="PageNumber"/>
        <w:sz w:val="13"/>
      </w:rPr>
      <w:tab/>
      <w:t xml:space="preserve">[Vol. </w:t>
    </w:r>
    <w:r w:rsidR="0027759B">
      <w:rPr>
        <w:rStyle w:val="PageNumber"/>
        <w:sz w:val="13"/>
      </w:rPr>
      <w:t>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BAC0" w14:textId="14DB19E5" w:rsidR="001808CC" w:rsidRPr="006B1B4B" w:rsidRDefault="00D863E6" w:rsidP="001B45A3">
    <w:pPr>
      <w:pStyle w:val="header0"/>
      <w:rPr>
        <w:lang w:val="pt-BR"/>
      </w:rPr>
    </w:pPr>
    <w:r>
      <w:fldChar w:fldCharType="begin"/>
    </w:r>
    <w:r w:rsidRPr="006B1B4B">
      <w:rPr>
        <w:lang w:val="pt-BR"/>
      </w:rPr>
      <w:instrText>FILENAME   \* MERGEFORMAT</w:instrText>
    </w:r>
    <w:r>
      <w:fldChar w:fldCharType="separate"/>
    </w:r>
    <w:r w:rsidR="005B2884">
      <w:rPr>
        <w:noProof/>
        <w:lang w:val="pt-BR"/>
      </w:rPr>
      <w:t>CTLJ_Final Round_Cheng_Code as Content</w:t>
    </w:r>
    <w:r>
      <w:fldChar w:fldCharType="end"/>
    </w:r>
    <w:r w:rsidR="001808CC" w:rsidRPr="006B1B4B">
      <w:rPr>
        <w:lang w:val="pt-BR"/>
      </w:rPr>
      <w:t xml:space="preserve"> (Do Not Delete)</w:t>
    </w:r>
    <w:r w:rsidR="001808CC" w:rsidRPr="006B1B4B">
      <w:rPr>
        <w:lang w:val="pt-BR"/>
      </w:rPr>
      <w:tab/>
    </w:r>
    <w:r>
      <w:fldChar w:fldCharType="begin"/>
    </w:r>
    <w:r>
      <w:instrText>DATE</w:instrText>
    </w:r>
    <w:r>
      <w:fldChar w:fldCharType="separate"/>
    </w:r>
    <w:r w:rsidR="005B2884">
      <w:rPr>
        <w:noProof/>
      </w:rPr>
      <w:t>8/26/2025</w:t>
    </w:r>
    <w:r>
      <w:fldChar w:fldCharType="end"/>
    </w:r>
    <w:r w:rsidR="001808CC" w:rsidRPr="006B1B4B">
      <w:rPr>
        <w:lang w:val="pt-BR"/>
      </w:rPr>
      <w:t xml:space="preserve">  </w:t>
    </w:r>
    <w:r>
      <w:fldChar w:fldCharType="begin"/>
    </w:r>
    <w:r>
      <w:instrText>TIME</w:instrText>
    </w:r>
    <w:r>
      <w:fldChar w:fldCharType="separate"/>
    </w:r>
    <w:r w:rsidR="005B2884">
      <w:rPr>
        <w:noProof/>
      </w:rPr>
      <w:t>10:40 AM</w:t>
    </w:r>
    <w:r>
      <w:fldChar w:fldCharType="end"/>
    </w:r>
  </w:p>
  <w:p w14:paraId="12194992" w14:textId="66D8E5C8" w:rsidR="001808CC" w:rsidRPr="006B1B4B" w:rsidRDefault="000D56B3">
    <w:pPr>
      <w:pStyle w:val="Header"/>
      <w:tabs>
        <w:tab w:val="clear" w:pos="4320"/>
        <w:tab w:val="clear" w:pos="8640"/>
        <w:tab w:val="center" w:pos="3240"/>
        <w:tab w:val="right" w:pos="6480"/>
      </w:tabs>
      <w:spacing w:before="720" w:after="260" w:line="240" w:lineRule="exact"/>
      <w:jc w:val="both"/>
      <w:rPr>
        <w:sz w:val="13"/>
        <w:lang w:val="pt-BR"/>
      </w:rPr>
    </w:pPr>
    <w:r w:rsidRPr="00864D8C">
      <w:rPr>
        <w:sz w:val="13"/>
      </w:rPr>
      <w:fldChar w:fldCharType="begin"/>
    </w:r>
    <w:r w:rsidRPr="006B1B4B">
      <w:rPr>
        <w:sz w:val="13"/>
        <w:lang w:val="pt-BR"/>
      </w:rPr>
      <w:instrText xml:space="preserve"> FILLIN  Year  \* MERGEFORMAT </w:instrText>
    </w:r>
    <w:r w:rsidRPr="00864D8C">
      <w:rPr>
        <w:sz w:val="13"/>
      </w:rPr>
      <w:fldChar w:fldCharType="separate"/>
    </w:r>
    <w:r w:rsidR="005B2884">
      <w:rPr>
        <w:sz w:val="13"/>
        <w:lang w:val="pt-BR"/>
      </w:rPr>
      <w:t>2025]</w:t>
    </w:r>
    <w:r w:rsidRPr="00864D8C">
      <w:rPr>
        <w:sz w:val="13"/>
      </w:rPr>
      <w:fldChar w:fldCharType="end"/>
    </w:r>
    <w:r w:rsidR="001808CC" w:rsidRPr="006B1B4B">
      <w:rPr>
        <w:sz w:val="13"/>
        <w:lang w:val="pt-BR"/>
      </w:rPr>
      <w:tab/>
    </w:r>
    <w:r w:rsidRPr="00772321">
      <w:rPr>
        <w:iCs/>
        <w:caps/>
        <w:sz w:val="13"/>
      </w:rPr>
      <w:fldChar w:fldCharType="begin"/>
    </w:r>
    <w:r w:rsidRPr="006B1B4B">
      <w:rPr>
        <w:iCs/>
        <w:caps/>
        <w:sz w:val="13"/>
        <w:lang w:val="pt-BR"/>
      </w:rPr>
      <w:instrText xml:space="preserve"> FILLIN  "Short Title"  \* MERGEFORMAT </w:instrText>
    </w:r>
    <w:r w:rsidRPr="00772321">
      <w:rPr>
        <w:iCs/>
        <w:caps/>
        <w:sz w:val="13"/>
      </w:rPr>
      <w:fldChar w:fldCharType="separate"/>
    </w:r>
    <w:r w:rsidR="005B2884">
      <w:rPr>
        <w:iCs/>
        <w:caps/>
        <w:sz w:val="13"/>
        <w:lang w:val="pt-BR"/>
      </w:rPr>
      <w:t>Code as Content</w:t>
    </w:r>
    <w:r w:rsidRPr="00772321">
      <w:rPr>
        <w:iCs/>
        <w:caps/>
        <w:sz w:val="13"/>
      </w:rPr>
      <w:fldChar w:fldCharType="end"/>
    </w:r>
    <w:r w:rsidR="001808CC" w:rsidRPr="006B1B4B">
      <w:rPr>
        <w:sz w:val="13"/>
        <w:lang w:val="pt-BR"/>
      </w:rPr>
      <w:tab/>
    </w:r>
    <w:r w:rsidR="001808CC" w:rsidRPr="00864D8C">
      <w:rPr>
        <w:rStyle w:val="PageNumber"/>
        <w:sz w:val="13"/>
      </w:rPr>
      <w:fldChar w:fldCharType="begin"/>
    </w:r>
    <w:r w:rsidR="001808CC" w:rsidRPr="006B1B4B">
      <w:rPr>
        <w:rStyle w:val="PageNumber"/>
        <w:sz w:val="13"/>
        <w:lang w:val="pt-BR"/>
      </w:rPr>
      <w:instrText xml:space="preserve"> PAGE </w:instrText>
    </w:r>
    <w:r w:rsidR="001808CC" w:rsidRPr="00864D8C">
      <w:rPr>
        <w:rStyle w:val="PageNumber"/>
        <w:sz w:val="13"/>
      </w:rPr>
      <w:fldChar w:fldCharType="separate"/>
    </w:r>
    <w:r w:rsidR="0079728D" w:rsidRPr="006B1B4B">
      <w:rPr>
        <w:rStyle w:val="PageNumber"/>
        <w:noProof/>
        <w:sz w:val="13"/>
        <w:lang w:val="pt-BR"/>
      </w:rPr>
      <w:t>105</w:t>
    </w:r>
    <w:r w:rsidR="001808CC" w:rsidRPr="00864D8C">
      <w:rPr>
        <w:rStyle w:val="PageNumber"/>
        <w:sz w:val="1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6E38" w14:textId="5798AF02" w:rsidR="001808CC" w:rsidRPr="001C12CF" w:rsidRDefault="00147C85" w:rsidP="001B45A3">
    <w:pPr>
      <w:pStyle w:val="header0"/>
    </w:pPr>
    <w:r>
      <w:rPr>
        <w:noProof/>
      </w:rPr>
      <w:fldChar w:fldCharType="begin"/>
    </w:r>
    <w:r>
      <w:rPr>
        <w:noProof/>
      </w:rPr>
      <w:instrText>FILENAME   \* MERGEFORMAT</w:instrText>
    </w:r>
    <w:r>
      <w:rPr>
        <w:noProof/>
      </w:rPr>
      <w:fldChar w:fldCharType="separate"/>
    </w:r>
    <w:r w:rsidR="005B2884">
      <w:rPr>
        <w:noProof/>
      </w:rPr>
      <w:t>CTLJ_Final Round_Cheng_Code as Content</w:t>
    </w:r>
    <w:r>
      <w:rPr>
        <w:noProof/>
      </w:rPr>
      <w:fldChar w:fldCharType="end"/>
    </w:r>
    <w:r w:rsidR="001808CC" w:rsidRPr="001C12CF">
      <w:t xml:space="preserve"> (Do Not Delete)</w:t>
    </w:r>
    <w:r w:rsidR="001808CC" w:rsidRPr="001C12CF">
      <w:tab/>
    </w:r>
    <w:r w:rsidR="00D863E6">
      <w:fldChar w:fldCharType="begin"/>
    </w:r>
    <w:r w:rsidR="00D863E6">
      <w:instrText>DATE</w:instrText>
    </w:r>
    <w:r w:rsidR="00D863E6">
      <w:fldChar w:fldCharType="separate"/>
    </w:r>
    <w:r w:rsidR="005B2884">
      <w:rPr>
        <w:noProof/>
      </w:rPr>
      <w:t>8/26/2025</w:t>
    </w:r>
    <w:r w:rsidR="00D863E6">
      <w:fldChar w:fldCharType="end"/>
    </w:r>
    <w:r w:rsidR="001808CC" w:rsidRPr="001C12CF">
      <w:t xml:space="preserve"> </w:t>
    </w:r>
    <w:r w:rsidR="00D863E6">
      <w:fldChar w:fldCharType="begin"/>
    </w:r>
    <w:r w:rsidR="00D863E6">
      <w:instrText>TIME</w:instrText>
    </w:r>
    <w:r w:rsidR="00D863E6">
      <w:fldChar w:fldCharType="separate"/>
    </w:r>
    <w:r w:rsidR="005B2884">
      <w:rPr>
        <w:noProof/>
      </w:rPr>
      <w:t>10:40 AM</w:t>
    </w:r>
    <w:r w:rsidR="00D863E6">
      <w:fldChar w:fldCharType="end"/>
    </w:r>
  </w:p>
  <w:p w14:paraId="68C80F8A" w14:textId="77777777" w:rsidR="001808CC" w:rsidRPr="00864D8C" w:rsidRDefault="001808CC">
    <w:pPr>
      <w:pStyle w:val="Header"/>
      <w:tabs>
        <w:tab w:val="clear" w:pos="4320"/>
        <w:tab w:val="clear" w:pos="8640"/>
        <w:tab w:val="right" w:pos="6480"/>
      </w:tabs>
      <w:spacing w:before="720" w:after="720" w:line="240" w:lineRule="exact"/>
      <w:jc w:val="both"/>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935"/>
    <w:multiLevelType w:val="hybridMultilevel"/>
    <w:tmpl w:val="1938D080"/>
    <w:lvl w:ilvl="0" w:tplc="FFFFFFFF">
      <w:start w:val="1"/>
      <w:numFmt w:val="upperLetter"/>
      <w:lvlText w:val="%1."/>
      <w:lvlJc w:val="left"/>
      <w:pPr>
        <w:ind w:left="7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14371"/>
    <w:multiLevelType w:val="hybridMultilevel"/>
    <w:tmpl w:val="59FC7F90"/>
    <w:lvl w:ilvl="0" w:tplc="FFFFFFFF">
      <w:start w:val="1"/>
      <w:numFmt w:val="upperLetter"/>
      <w:lvlText w:val="%1."/>
      <w:lvlJc w:val="left"/>
      <w:pPr>
        <w:ind w:left="7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7C7330"/>
    <w:multiLevelType w:val="hybridMultilevel"/>
    <w:tmpl w:val="155A8FAE"/>
    <w:lvl w:ilvl="0" w:tplc="FFFFFFFF">
      <w:start w:val="1"/>
      <w:numFmt w:val="upperLetter"/>
      <w:lvlText w:val="%1."/>
      <w:lvlJc w:val="left"/>
      <w:pPr>
        <w:ind w:left="7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495B00"/>
    <w:multiLevelType w:val="hybridMultilevel"/>
    <w:tmpl w:val="91829B2A"/>
    <w:lvl w:ilvl="0" w:tplc="EC08A3A2">
      <w:start w:val="1"/>
      <w:numFmt w:val="upperRoman"/>
      <w:lvlText w:val="%1."/>
      <w:lvlJc w:val="left"/>
      <w:pPr>
        <w:ind w:left="360"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 w15:restartNumberingAfterBreak="0">
    <w:nsid w:val="2D5B2D0E"/>
    <w:multiLevelType w:val="hybridMultilevel"/>
    <w:tmpl w:val="D794D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85EED"/>
    <w:multiLevelType w:val="hybridMultilevel"/>
    <w:tmpl w:val="F5F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B1996"/>
    <w:multiLevelType w:val="hybridMultilevel"/>
    <w:tmpl w:val="5150EF6C"/>
    <w:lvl w:ilvl="0" w:tplc="9F2CF54E">
      <w:start w:val="1"/>
      <w:numFmt w:val="upperLetter"/>
      <w:lvlText w:val="%1."/>
      <w:lvlJc w:val="left"/>
      <w:pPr>
        <w:ind w:left="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E7482"/>
    <w:multiLevelType w:val="hybridMultilevel"/>
    <w:tmpl w:val="237EFEBC"/>
    <w:lvl w:ilvl="0" w:tplc="FFFFFFFF">
      <w:start w:val="1"/>
      <w:numFmt w:val="upperLetter"/>
      <w:lvlText w:val="%1."/>
      <w:lvlJc w:val="left"/>
      <w:pPr>
        <w:ind w:left="7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EF1B61"/>
    <w:multiLevelType w:val="hybridMultilevel"/>
    <w:tmpl w:val="38628D84"/>
    <w:lvl w:ilvl="0" w:tplc="E3A84D26">
      <w:start w:val="1"/>
      <w:numFmt w:val="bullet"/>
      <w:pStyle w:val="BulletListTX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9" w15:restartNumberingAfterBreak="0">
    <w:nsid w:val="786A4625"/>
    <w:multiLevelType w:val="hybridMultilevel"/>
    <w:tmpl w:val="6D141D18"/>
    <w:lvl w:ilvl="0" w:tplc="20F854B4">
      <w:start w:val="1"/>
      <w:numFmt w:val="bullet"/>
      <w:pStyle w:val="BulletListFN"/>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6824742">
    <w:abstractNumId w:val="9"/>
  </w:num>
  <w:num w:numId="2" w16cid:durableId="1489637402">
    <w:abstractNumId w:val="8"/>
  </w:num>
  <w:num w:numId="3" w16cid:durableId="875391381">
    <w:abstractNumId w:val="3"/>
  </w:num>
  <w:num w:numId="4" w16cid:durableId="1031223572">
    <w:abstractNumId w:val="6"/>
  </w:num>
  <w:num w:numId="5" w16cid:durableId="525754010">
    <w:abstractNumId w:val="2"/>
  </w:num>
  <w:num w:numId="6" w16cid:durableId="1532760334">
    <w:abstractNumId w:val="4"/>
  </w:num>
  <w:num w:numId="7" w16cid:durableId="44185006">
    <w:abstractNumId w:val="1"/>
  </w:num>
  <w:num w:numId="8" w16cid:durableId="923224518">
    <w:abstractNumId w:val="7"/>
  </w:num>
  <w:num w:numId="9" w16cid:durableId="1590119745">
    <w:abstractNumId w:val="0"/>
  </w:num>
  <w:num w:numId="10" w16cid:durableId="60373148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autoHyphenation/>
  <w:consecutiveHyphenLimit w:val="3"/>
  <w:hyphenationZone w:val="274"/>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2C"/>
    <w:rsid w:val="00000227"/>
    <w:rsid w:val="000007A7"/>
    <w:rsid w:val="00001496"/>
    <w:rsid w:val="000018D7"/>
    <w:rsid w:val="00002153"/>
    <w:rsid w:val="00002BAC"/>
    <w:rsid w:val="000032A5"/>
    <w:rsid w:val="00004DD0"/>
    <w:rsid w:val="0000605C"/>
    <w:rsid w:val="000109B1"/>
    <w:rsid w:val="00011A95"/>
    <w:rsid w:val="000126E6"/>
    <w:rsid w:val="00013BB7"/>
    <w:rsid w:val="00021C0D"/>
    <w:rsid w:val="000245DF"/>
    <w:rsid w:val="0002462C"/>
    <w:rsid w:val="000253FD"/>
    <w:rsid w:val="00026211"/>
    <w:rsid w:val="000266E2"/>
    <w:rsid w:val="00026CEA"/>
    <w:rsid w:val="00030A73"/>
    <w:rsid w:val="00031175"/>
    <w:rsid w:val="000317D6"/>
    <w:rsid w:val="000335CE"/>
    <w:rsid w:val="00034B27"/>
    <w:rsid w:val="00035AD5"/>
    <w:rsid w:val="00037EEA"/>
    <w:rsid w:val="00040902"/>
    <w:rsid w:val="00043929"/>
    <w:rsid w:val="00043AC4"/>
    <w:rsid w:val="0004402C"/>
    <w:rsid w:val="000445FB"/>
    <w:rsid w:val="00045C26"/>
    <w:rsid w:val="00045DC1"/>
    <w:rsid w:val="000472C6"/>
    <w:rsid w:val="000516EB"/>
    <w:rsid w:val="000518F7"/>
    <w:rsid w:val="0005463E"/>
    <w:rsid w:val="00055C85"/>
    <w:rsid w:val="00057F4D"/>
    <w:rsid w:val="00060342"/>
    <w:rsid w:val="00061408"/>
    <w:rsid w:val="00061FE5"/>
    <w:rsid w:val="00062834"/>
    <w:rsid w:val="0006314A"/>
    <w:rsid w:val="00063796"/>
    <w:rsid w:val="00064313"/>
    <w:rsid w:val="00064680"/>
    <w:rsid w:val="00065886"/>
    <w:rsid w:val="00065B9E"/>
    <w:rsid w:val="00065E99"/>
    <w:rsid w:val="00066DBA"/>
    <w:rsid w:val="00067B71"/>
    <w:rsid w:val="00067F60"/>
    <w:rsid w:val="00071C10"/>
    <w:rsid w:val="00072E10"/>
    <w:rsid w:val="00073251"/>
    <w:rsid w:val="00076AD3"/>
    <w:rsid w:val="00080A8E"/>
    <w:rsid w:val="000823D5"/>
    <w:rsid w:val="000825C7"/>
    <w:rsid w:val="000831FF"/>
    <w:rsid w:val="00083D5D"/>
    <w:rsid w:val="00083E39"/>
    <w:rsid w:val="00084F0C"/>
    <w:rsid w:val="00086A00"/>
    <w:rsid w:val="00090592"/>
    <w:rsid w:val="00092AD5"/>
    <w:rsid w:val="0009371D"/>
    <w:rsid w:val="00093D23"/>
    <w:rsid w:val="00096A6E"/>
    <w:rsid w:val="000A0837"/>
    <w:rsid w:val="000A1DD8"/>
    <w:rsid w:val="000A2326"/>
    <w:rsid w:val="000A25F8"/>
    <w:rsid w:val="000A385A"/>
    <w:rsid w:val="000A593F"/>
    <w:rsid w:val="000A7197"/>
    <w:rsid w:val="000B0674"/>
    <w:rsid w:val="000B7516"/>
    <w:rsid w:val="000C2D8A"/>
    <w:rsid w:val="000C332D"/>
    <w:rsid w:val="000C447F"/>
    <w:rsid w:val="000C4E5C"/>
    <w:rsid w:val="000C5652"/>
    <w:rsid w:val="000C6ABC"/>
    <w:rsid w:val="000C7B3C"/>
    <w:rsid w:val="000D11FA"/>
    <w:rsid w:val="000D203D"/>
    <w:rsid w:val="000D42CB"/>
    <w:rsid w:val="000D496C"/>
    <w:rsid w:val="000D56B3"/>
    <w:rsid w:val="000D6264"/>
    <w:rsid w:val="000D630A"/>
    <w:rsid w:val="000E075A"/>
    <w:rsid w:val="000E247D"/>
    <w:rsid w:val="000E55C6"/>
    <w:rsid w:val="000E5D4A"/>
    <w:rsid w:val="000E7F18"/>
    <w:rsid w:val="000F2351"/>
    <w:rsid w:val="000F2841"/>
    <w:rsid w:val="000F41DA"/>
    <w:rsid w:val="000F661C"/>
    <w:rsid w:val="000F6C54"/>
    <w:rsid w:val="000F7F38"/>
    <w:rsid w:val="00100C54"/>
    <w:rsid w:val="001012DA"/>
    <w:rsid w:val="00102841"/>
    <w:rsid w:val="00102D83"/>
    <w:rsid w:val="001037BD"/>
    <w:rsid w:val="00104475"/>
    <w:rsid w:val="001044CE"/>
    <w:rsid w:val="00104BBF"/>
    <w:rsid w:val="00105521"/>
    <w:rsid w:val="00106F67"/>
    <w:rsid w:val="00107047"/>
    <w:rsid w:val="00110341"/>
    <w:rsid w:val="001117F6"/>
    <w:rsid w:val="001132B2"/>
    <w:rsid w:val="00113964"/>
    <w:rsid w:val="00115886"/>
    <w:rsid w:val="0011726A"/>
    <w:rsid w:val="00117CD3"/>
    <w:rsid w:val="00122DAA"/>
    <w:rsid w:val="001233DE"/>
    <w:rsid w:val="00123B07"/>
    <w:rsid w:val="001247B2"/>
    <w:rsid w:val="00124965"/>
    <w:rsid w:val="001256F3"/>
    <w:rsid w:val="00127B11"/>
    <w:rsid w:val="00127C31"/>
    <w:rsid w:val="00130A70"/>
    <w:rsid w:val="00135CEC"/>
    <w:rsid w:val="00137B73"/>
    <w:rsid w:val="00140129"/>
    <w:rsid w:val="00143478"/>
    <w:rsid w:val="00143657"/>
    <w:rsid w:val="001443DA"/>
    <w:rsid w:val="00144514"/>
    <w:rsid w:val="001459F4"/>
    <w:rsid w:val="00147C85"/>
    <w:rsid w:val="00147ED5"/>
    <w:rsid w:val="00147FEA"/>
    <w:rsid w:val="001511CE"/>
    <w:rsid w:val="00151A09"/>
    <w:rsid w:val="00151A50"/>
    <w:rsid w:val="0015361F"/>
    <w:rsid w:val="0015463C"/>
    <w:rsid w:val="00155927"/>
    <w:rsid w:val="00156483"/>
    <w:rsid w:val="00156EC4"/>
    <w:rsid w:val="00157A7A"/>
    <w:rsid w:val="001607A5"/>
    <w:rsid w:val="00161507"/>
    <w:rsid w:val="001618B3"/>
    <w:rsid w:val="00163609"/>
    <w:rsid w:val="001639EA"/>
    <w:rsid w:val="00165110"/>
    <w:rsid w:val="0016555B"/>
    <w:rsid w:val="00167955"/>
    <w:rsid w:val="00171491"/>
    <w:rsid w:val="00173D12"/>
    <w:rsid w:val="001741D3"/>
    <w:rsid w:val="001745AE"/>
    <w:rsid w:val="00177719"/>
    <w:rsid w:val="001808CC"/>
    <w:rsid w:val="00181DC1"/>
    <w:rsid w:val="00182898"/>
    <w:rsid w:val="00184074"/>
    <w:rsid w:val="00184A0C"/>
    <w:rsid w:val="00184D18"/>
    <w:rsid w:val="00186FC9"/>
    <w:rsid w:val="00190C4D"/>
    <w:rsid w:val="00191B5B"/>
    <w:rsid w:val="00192779"/>
    <w:rsid w:val="00192D20"/>
    <w:rsid w:val="00193EE8"/>
    <w:rsid w:val="001940DD"/>
    <w:rsid w:val="0019417C"/>
    <w:rsid w:val="00194DD4"/>
    <w:rsid w:val="00195157"/>
    <w:rsid w:val="00196456"/>
    <w:rsid w:val="00196B22"/>
    <w:rsid w:val="0019775E"/>
    <w:rsid w:val="001A0726"/>
    <w:rsid w:val="001A430C"/>
    <w:rsid w:val="001A64F8"/>
    <w:rsid w:val="001B0544"/>
    <w:rsid w:val="001B335C"/>
    <w:rsid w:val="001B45A3"/>
    <w:rsid w:val="001B4B2D"/>
    <w:rsid w:val="001B58B1"/>
    <w:rsid w:val="001B6F02"/>
    <w:rsid w:val="001C03C0"/>
    <w:rsid w:val="001C0FA8"/>
    <w:rsid w:val="001C12CF"/>
    <w:rsid w:val="001C1B9E"/>
    <w:rsid w:val="001C20FF"/>
    <w:rsid w:val="001C2A69"/>
    <w:rsid w:val="001C3198"/>
    <w:rsid w:val="001C435D"/>
    <w:rsid w:val="001C4C16"/>
    <w:rsid w:val="001C4DA8"/>
    <w:rsid w:val="001C5248"/>
    <w:rsid w:val="001C5AB7"/>
    <w:rsid w:val="001C678F"/>
    <w:rsid w:val="001C67BE"/>
    <w:rsid w:val="001C78CE"/>
    <w:rsid w:val="001C7ABC"/>
    <w:rsid w:val="001D12A1"/>
    <w:rsid w:val="001D76F8"/>
    <w:rsid w:val="001E0278"/>
    <w:rsid w:val="001E05FD"/>
    <w:rsid w:val="001E13ED"/>
    <w:rsid w:val="001E207C"/>
    <w:rsid w:val="001E2D60"/>
    <w:rsid w:val="001E4481"/>
    <w:rsid w:val="001E49C3"/>
    <w:rsid w:val="001E6481"/>
    <w:rsid w:val="001E7645"/>
    <w:rsid w:val="001F091F"/>
    <w:rsid w:val="001F0FFC"/>
    <w:rsid w:val="001F1428"/>
    <w:rsid w:val="001F266F"/>
    <w:rsid w:val="001F339E"/>
    <w:rsid w:val="001F4766"/>
    <w:rsid w:val="001F4A1D"/>
    <w:rsid w:val="001F67B8"/>
    <w:rsid w:val="00200D3C"/>
    <w:rsid w:val="002017D0"/>
    <w:rsid w:val="00201AAB"/>
    <w:rsid w:val="00202156"/>
    <w:rsid w:val="00205CA7"/>
    <w:rsid w:val="00206E9F"/>
    <w:rsid w:val="00213549"/>
    <w:rsid w:val="00215A80"/>
    <w:rsid w:val="00216ACB"/>
    <w:rsid w:val="00217766"/>
    <w:rsid w:val="00222AEC"/>
    <w:rsid w:val="00223226"/>
    <w:rsid w:val="002262E4"/>
    <w:rsid w:val="002274EF"/>
    <w:rsid w:val="00230D7A"/>
    <w:rsid w:val="00231156"/>
    <w:rsid w:val="0023157E"/>
    <w:rsid w:val="00232218"/>
    <w:rsid w:val="00232CCA"/>
    <w:rsid w:val="002339F5"/>
    <w:rsid w:val="00234430"/>
    <w:rsid w:val="00234F30"/>
    <w:rsid w:val="00235A8A"/>
    <w:rsid w:val="00236135"/>
    <w:rsid w:val="00236ECC"/>
    <w:rsid w:val="00241C54"/>
    <w:rsid w:val="0024393D"/>
    <w:rsid w:val="00244429"/>
    <w:rsid w:val="00246284"/>
    <w:rsid w:val="00246CFD"/>
    <w:rsid w:val="002504E0"/>
    <w:rsid w:val="00251BC2"/>
    <w:rsid w:val="00252356"/>
    <w:rsid w:val="00252A16"/>
    <w:rsid w:val="0025435C"/>
    <w:rsid w:val="00255244"/>
    <w:rsid w:val="00256F7D"/>
    <w:rsid w:val="002572A9"/>
    <w:rsid w:val="0025752D"/>
    <w:rsid w:val="002602F9"/>
    <w:rsid w:val="0026153F"/>
    <w:rsid w:val="0026213D"/>
    <w:rsid w:val="0026340A"/>
    <w:rsid w:val="00264BC2"/>
    <w:rsid w:val="00266261"/>
    <w:rsid w:val="00266909"/>
    <w:rsid w:val="0026710C"/>
    <w:rsid w:val="00271F80"/>
    <w:rsid w:val="00272334"/>
    <w:rsid w:val="002731EF"/>
    <w:rsid w:val="002754A1"/>
    <w:rsid w:val="00276A34"/>
    <w:rsid w:val="00276A97"/>
    <w:rsid w:val="00276ECE"/>
    <w:rsid w:val="0027759B"/>
    <w:rsid w:val="00280581"/>
    <w:rsid w:val="0028113D"/>
    <w:rsid w:val="00284D99"/>
    <w:rsid w:val="002864BD"/>
    <w:rsid w:val="00287ACE"/>
    <w:rsid w:val="00287C3C"/>
    <w:rsid w:val="00290658"/>
    <w:rsid w:val="002912B3"/>
    <w:rsid w:val="00291573"/>
    <w:rsid w:val="0029207E"/>
    <w:rsid w:val="002931D1"/>
    <w:rsid w:val="0029356E"/>
    <w:rsid w:val="002937D4"/>
    <w:rsid w:val="00294D07"/>
    <w:rsid w:val="002A0892"/>
    <w:rsid w:val="002A0D28"/>
    <w:rsid w:val="002A1A29"/>
    <w:rsid w:val="002A1E8F"/>
    <w:rsid w:val="002A23DC"/>
    <w:rsid w:val="002A51D4"/>
    <w:rsid w:val="002A562A"/>
    <w:rsid w:val="002A61C0"/>
    <w:rsid w:val="002A6E31"/>
    <w:rsid w:val="002B1E8F"/>
    <w:rsid w:val="002B2490"/>
    <w:rsid w:val="002B2E22"/>
    <w:rsid w:val="002B3E9E"/>
    <w:rsid w:val="002B46FF"/>
    <w:rsid w:val="002B4C5B"/>
    <w:rsid w:val="002B5536"/>
    <w:rsid w:val="002B569B"/>
    <w:rsid w:val="002C0960"/>
    <w:rsid w:val="002C0D64"/>
    <w:rsid w:val="002C2001"/>
    <w:rsid w:val="002C2905"/>
    <w:rsid w:val="002C3752"/>
    <w:rsid w:val="002C5C8D"/>
    <w:rsid w:val="002C6684"/>
    <w:rsid w:val="002D1EFD"/>
    <w:rsid w:val="002D38E6"/>
    <w:rsid w:val="002D3C07"/>
    <w:rsid w:val="002D3FB2"/>
    <w:rsid w:val="002D4F1C"/>
    <w:rsid w:val="002D5442"/>
    <w:rsid w:val="002D5833"/>
    <w:rsid w:val="002D5CD1"/>
    <w:rsid w:val="002D6306"/>
    <w:rsid w:val="002D6B89"/>
    <w:rsid w:val="002D7555"/>
    <w:rsid w:val="002D7936"/>
    <w:rsid w:val="002D7BEF"/>
    <w:rsid w:val="002E023C"/>
    <w:rsid w:val="002E0FE7"/>
    <w:rsid w:val="002E1C99"/>
    <w:rsid w:val="002E2FE8"/>
    <w:rsid w:val="002E3AC5"/>
    <w:rsid w:val="002E3AEE"/>
    <w:rsid w:val="002E5CE0"/>
    <w:rsid w:val="002E6B92"/>
    <w:rsid w:val="002F0015"/>
    <w:rsid w:val="002F0CAA"/>
    <w:rsid w:val="002F12C3"/>
    <w:rsid w:val="002F1CEC"/>
    <w:rsid w:val="002F2FC5"/>
    <w:rsid w:val="002F36CF"/>
    <w:rsid w:val="002F372B"/>
    <w:rsid w:val="002F4018"/>
    <w:rsid w:val="002F4C68"/>
    <w:rsid w:val="002F4D2F"/>
    <w:rsid w:val="002F6702"/>
    <w:rsid w:val="002F694A"/>
    <w:rsid w:val="00300002"/>
    <w:rsid w:val="003003FA"/>
    <w:rsid w:val="003014D6"/>
    <w:rsid w:val="00301875"/>
    <w:rsid w:val="00301A0B"/>
    <w:rsid w:val="00301BA3"/>
    <w:rsid w:val="00304300"/>
    <w:rsid w:val="0030458C"/>
    <w:rsid w:val="00305E84"/>
    <w:rsid w:val="003076E0"/>
    <w:rsid w:val="003104B3"/>
    <w:rsid w:val="003108B1"/>
    <w:rsid w:val="00310D36"/>
    <w:rsid w:val="00311140"/>
    <w:rsid w:val="00312247"/>
    <w:rsid w:val="003128FA"/>
    <w:rsid w:val="00313446"/>
    <w:rsid w:val="003147D0"/>
    <w:rsid w:val="00314DF7"/>
    <w:rsid w:val="003158AB"/>
    <w:rsid w:val="003164B4"/>
    <w:rsid w:val="00316818"/>
    <w:rsid w:val="00316C23"/>
    <w:rsid w:val="00320D58"/>
    <w:rsid w:val="0032129B"/>
    <w:rsid w:val="00321E0C"/>
    <w:rsid w:val="00325AD5"/>
    <w:rsid w:val="00325DBB"/>
    <w:rsid w:val="00326D19"/>
    <w:rsid w:val="00331880"/>
    <w:rsid w:val="00331EC5"/>
    <w:rsid w:val="00332915"/>
    <w:rsid w:val="00335AFE"/>
    <w:rsid w:val="003402B0"/>
    <w:rsid w:val="00341C09"/>
    <w:rsid w:val="00343CD9"/>
    <w:rsid w:val="00345215"/>
    <w:rsid w:val="00345B64"/>
    <w:rsid w:val="003464BF"/>
    <w:rsid w:val="0034687C"/>
    <w:rsid w:val="00347A41"/>
    <w:rsid w:val="00350E80"/>
    <w:rsid w:val="00351BCA"/>
    <w:rsid w:val="00352E1D"/>
    <w:rsid w:val="00353D11"/>
    <w:rsid w:val="003571A6"/>
    <w:rsid w:val="00360034"/>
    <w:rsid w:val="00360DF6"/>
    <w:rsid w:val="003617D8"/>
    <w:rsid w:val="00361F27"/>
    <w:rsid w:val="00364C8F"/>
    <w:rsid w:val="00365728"/>
    <w:rsid w:val="0036578C"/>
    <w:rsid w:val="00366105"/>
    <w:rsid w:val="00366576"/>
    <w:rsid w:val="003665F2"/>
    <w:rsid w:val="00366ED2"/>
    <w:rsid w:val="00370C69"/>
    <w:rsid w:val="003710C8"/>
    <w:rsid w:val="00372B7C"/>
    <w:rsid w:val="00372C2A"/>
    <w:rsid w:val="003778D7"/>
    <w:rsid w:val="003808AF"/>
    <w:rsid w:val="0038174A"/>
    <w:rsid w:val="00381D4A"/>
    <w:rsid w:val="00382420"/>
    <w:rsid w:val="00382EC0"/>
    <w:rsid w:val="00383B85"/>
    <w:rsid w:val="00384773"/>
    <w:rsid w:val="003867D7"/>
    <w:rsid w:val="00390202"/>
    <w:rsid w:val="00390482"/>
    <w:rsid w:val="00390D23"/>
    <w:rsid w:val="00390D58"/>
    <w:rsid w:val="0039109F"/>
    <w:rsid w:val="00392897"/>
    <w:rsid w:val="003959F0"/>
    <w:rsid w:val="003963A5"/>
    <w:rsid w:val="003A2049"/>
    <w:rsid w:val="003A2B14"/>
    <w:rsid w:val="003A4568"/>
    <w:rsid w:val="003B19A2"/>
    <w:rsid w:val="003B2233"/>
    <w:rsid w:val="003B3887"/>
    <w:rsid w:val="003B68C4"/>
    <w:rsid w:val="003B6A76"/>
    <w:rsid w:val="003B6B56"/>
    <w:rsid w:val="003B7306"/>
    <w:rsid w:val="003C00BA"/>
    <w:rsid w:val="003C0327"/>
    <w:rsid w:val="003C0BFB"/>
    <w:rsid w:val="003C1919"/>
    <w:rsid w:val="003C3248"/>
    <w:rsid w:val="003C3B82"/>
    <w:rsid w:val="003C3E7A"/>
    <w:rsid w:val="003C47E0"/>
    <w:rsid w:val="003C55BE"/>
    <w:rsid w:val="003C5EAF"/>
    <w:rsid w:val="003D01E1"/>
    <w:rsid w:val="003D092B"/>
    <w:rsid w:val="003D1079"/>
    <w:rsid w:val="003D1831"/>
    <w:rsid w:val="003D1DE2"/>
    <w:rsid w:val="003D34C9"/>
    <w:rsid w:val="003D3C5E"/>
    <w:rsid w:val="003D6043"/>
    <w:rsid w:val="003D6C4B"/>
    <w:rsid w:val="003E0899"/>
    <w:rsid w:val="003E1368"/>
    <w:rsid w:val="003E25EF"/>
    <w:rsid w:val="003E2B9B"/>
    <w:rsid w:val="003E3C8B"/>
    <w:rsid w:val="003E4178"/>
    <w:rsid w:val="003E495E"/>
    <w:rsid w:val="003E6304"/>
    <w:rsid w:val="003E633C"/>
    <w:rsid w:val="003E675C"/>
    <w:rsid w:val="003F1060"/>
    <w:rsid w:val="003F1F62"/>
    <w:rsid w:val="003F2753"/>
    <w:rsid w:val="003F739F"/>
    <w:rsid w:val="003F7AD8"/>
    <w:rsid w:val="003F7FC7"/>
    <w:rsid w:val="00400170"/>
    <w:rsid w:val="00400510"/>
    <w:rsid w:val="0040080F"/>
    <w:rsid w:val="00400CE5"/>
    <w:rsid w:val="00400D4F"/>
    <w:rsid w:val="00402F1F"/>
    <w:rsid w:val="00403C60"/>
    <w:rsid w:val="00403DBE"/>
    <w:rsid w:val="00404679"/>
    <w:rsid w:val="00404726"/>
    <w:rsid w:val="00405A43"/>
    <w:rsid w:val="00406A36"/>
    <w:rsid w:val="00407D43"/>
    <w:rsid w:val="004117AE"/>
    <w:rsid w:val="00411CB6"/>
    <w:rsid w:val="00412FC1"/>
    <w:rsid w:val="0041383C"/>
    <w:rsid w:val="004139FF"/>
    <w:rsid w:val="00413AD9"/>
    <w:rsid w:val="004149DA"/>
    <w:rsid w:val="00414A84"/>
    <w:rsid w:val="00414B56"/>
    <w:rsid w:val="004226BE"/>
    <w:rsid w:val="004237D9"/>
    <w:rsid w:val="00424822"/>
    <w:rsid w:val="004269E7"/>
    <w:rsid w:val="004272B0"/>
    <w:rsid w:val="004305C5"/>
    <w:rsid w:val="004319DA"/>
    <w:rsid w:val="00432325"/>
    <w:rsid w:val="00432C27"/>
    <w:rsid w:val="004338B2"/>
    <w:rsid w:val="0043397B"/>
    <w:rsid w:val="00433B55"/>
    <w:rsid w:val="00434CB4"/>
    <w:rsid w:val="00434D35"/>
    <w:rsid w:val="00434F05"/>
    <w:rsid w:val="00435D38"/>
    <w:rsid w:val="00440547"/>
    <w:rsid w:val="00440B8D"/>
    <w:rsid w:val="0044107C"/>
    <w:rsid w:val="00443856"/>
    <w:rsid w:val="00443878"/>
    <w:rsid w:val="00443E81"/>
    <w:rsid w:val="00444DBD"/>
    <w:rsid w:val="00445E5C"/>
    <w:rsid w:val="00450DD9"/>
    <w:rsid w:val="00452A6C"/>
    <w:rsid w:val="00454F03"/>
    <w:rsid w:val="0045541D"/>
    <w:rsid w:val="0045577E"/>
    <w:rsid w:val="00455F4B"/>
    <w:rsid w:val="00457061"/>
    <w:rsid w:val="0045785E"/>
    <w:rsid w:val="00457B07"/>
    <w:rsid w:val="004603BC"/>
    <w:rsid w:val="00461AF8"/>
    <w:rsid w:val="004624A7"/>
    <w:rsid w:val="00463B9D"/>
    <w:rsid w:val="00465DE5"/>
    <w:rsid w:val="0046782C"/>
    <w:rsid w:val="004702E9"/>
    <w:rsid w:val="0047095C"/>
    <w:rsid w:val="00471659"/>
    <w:rsid w:val="00471936"/>
    <w:rsid w:val="00471A94"/>
    <w:rsid w:val="00475AA6"/>
    <w:rsid w:val="00476A08"/>
    <w:rsid w:val="00477603"/>
    <w:rsid w:val="00481D75"/>
    <w:rsid w:val="004835C8"/>
    <w:rsid w:val="004856D5"/>
    <w:rsid w:val="00486AF8"/>
    <w:rsid w:val="00487A3A"/>
    <w:rsid w:val="00487C3B"/>
    <w:rsid w:val="00487FEF"/>
    <w:rsid w:val="004912FE"/>
    <w:rsid w:val="00491A70"/>
    <w:rsid w:val="00491C72"/>
    <w:rsid w:val="0049304C"/>
    <w:rsid w:val="00493713"/>
    <w:rsid w:val="004968E1"/>
    <w:rsid w:val="00496B0A"/>
    <w:rsid w:val="00497373"/>
    <w:rsid w:val="0049745D"/>
    <w:rsid w:val="00497D34"/>
    <w:rsid w:val="004A0299"/>
    <w:rsid w:val="004A088D"/>
    <w:rsid w:val="004A220D"/>
    <w:rsid w:val="004A25E5"/>
    <w:rsid w:val="004A3BAC"/>
    <w:rsid w:val="004A3C07"/>
    <w:rsid w:val="004A647D"/>
    <w:rsid w:val="004B0DE1"/>
    <w:rsid w:val="004B0F16"/>
    <w:rsid w:val="004B1332"/>
    <w:rsid w:val="004B1E2E"/>
    <w:rsid w:val="004B5279"/>
    <w:rsid w:val="004B62E8"/>
    <w:rsid w:val="004C0D0B"/>
    <w:rsid w:val="004C2E00"/>
    <w:rsid w:val="004C30CB"/>
    <w:rsid w:val="004C38D0"/>
    <w:rsid w:val="004C3CE6"/>
    <w:rsid w:val="004C3D9D"/>
    <w:rsid w:val="004C404B"/>
    <w:rsid w:val="004C4EAB"/>
    <w:rsid w:val="004C68F2"/>
    <w:rsid w:val="004C69A3"/>
    <w:rsid w:val="004C6D66"/>
    <w:rsid w:val="004D015F"/>
    <w:rsid w:val="004D0A1A"/>
    <w:rsid w:val="004D25AF"/>
    <w:rsid w:val="004D263E"/>
    <w:rsid w:val="004D361C"/>
    <w:rsid w:val="004D36FE"/>
    <w:rsid w:val="004D4D43"/>
    <w:rsid w:val="004D58CE"/>
    <w:rsid w:val="004D58F0"/>
    <w:rsid w:val="004D5DB4"/>
    <w:rsid w:val="004D65D5"/>
    <w:rsid w:val="004D745F"/>
    <w:rsid w:val="004D7BCF"/>
    <w:rsid w:val="004E0315"/>
    <w:rsid w:val="004E0B84"/>
    <w:rsid w:val="004E38B9"/>
    <w:rsid w:val="004E3E77"/>
    <w:rsid w:val="004E4239"/>
    <w:rsid w:val="004E4C96"/>
    <w:rsid w:val="004E4E7D"/>
    <w:rsid w:val="004E5F55"/>
    <w:rsid w:val="004F157B"/>
    <w:rsid w:val="004F3E2F"/>
    <w:rsid w:val="004F4CD7"/>
    <w:rsid w:val="004F6ADD"/>
    <w:rsid w:val="004F77A5"/>
    <w:rsid w:val="004F7831"/>
    <w:rsid w:val="004F7FE4"/>
    <w:rsid w:val="00501CF5"/>
    <w:rsid w:val="0050259D"/>
    <w:rsid w:val="005056BD"/>
    <w:rsid w:val="00505BD0"/>
    <w:rsid w:val="00506187"/>
    <w:rsid w:val="00507073"/>
    <w:rsid w:val="005103A7"/>
    <w:rsid w:val="00511300"/>
    <w:rsid w:val="00511417"/>
    <w:rsid w:val="005137DC"/>
    <w:rsid w:val="00514524"/>
    <w:rsid w:val="00516F1C"/>
    <w:rsid w:val="00517C46"/>
    <w:rsid w:val="0052292E"/>
    <w:rsid w:val="00522F31"/>
    <w:rsid w:val="0052624F"/>
    <w:rsid w:val="00531096"/>
    <w:rsid w:val="00533543"/>
    <w:rsid w:val="0053365D"/>
    <w:rsid w:val="00534918"/>
    <w:rsid w:val="0053535A"/>
    <w:rsid w:val="00535981"/>
    <w:rsid w:val="005374DA"/>
    <w:rsid w:val="0053790B"/>
    <w:rsid w:val="00542712"/>
    <w:rsid w:val="00543C13"/>
    <w:rsid w:val="00545026"/>
    <w:rsid w:val="00545294"/>
    <w:rsid w:val="00551F69"/>
    <w:rsid w:val="005540CA"/>
    <w:rsid w:val="00554139"/>
    <w:rsid w:val="00554976"/>
    <w:rsid w:val="00555167"/>
    <w:rsid w:val="00562331"/>
    <w:rsid w:val="00562862"/>
    <w:rsid w:val="00563255"/>
    <w:rsid w:val="00565302"/>
    <w:rsid w:val="005678F3"/>
    <w:rsid w:val="00567DB9"/>
    <w:rsid w:val="0057372D"/>
    <w:rsid w:val="00573B4D"/>
    <w:rsid w:val="00574395"/>
    <w:rsid w:val="00574475"/>
    <w:rsid w:val="005745DF"/>
    <w:rsid w:val="005753C8"/>
    <w:rsid w:val="005766DD"/>
    <w:rsid w:val="00576855"/>
    <w:rsid w:val="00576BB3"/>
    <w:rsid w:val="005800E7"/>
    <w:rsid w:val="0058033D"/>
    <w:rsid w:val="00582B3E"/>
    <w:rsid w:val="005830C5"/>
    <w:rsid w:val="00583179"/>
    <w:rsid w:val="00583837"/>
    <w:rsid w:val="00584792"/>
    <w:rsid w:val="00584C91"/>
    <w:rsid w:val="00586E7E"/>
    <w:rsid w:val="00587052"/>
    <w:rsid w:val="005874E9"/>
    <w:rsid w:val="00587719"/>
    <w:rsid w:val="005900F0"/>
    <w:rsid w:val="00590E9A"/>
    <w:rsid w:val="00591B27"/>
    <w:rsid w:val="005927F7"/>
    <w:rsid w:val="00592E78"/>
    <w:rsid w:val="00596287"/>
    <w:rsid w:val="005A2072"/>
    <w:rsid w:val="005A58D1"/>
    <w:rsid w:val="005A5FC6"/>
    <w:rsid w:val="005B08FC"/>
    <w:rsid w:val="005B24DA"/>
    <w:rsid w:val="005B2884"/>
    <w:rsid w:val="005B2FB1"/>
    <w:rsid w:val="005B31A6"/>
    <w:rsid w:val="005B51E1"/>
    <w:rsid w:val="005B6987"/>
    <w:rsid w:val="005B7B1F"/>
    <w:rsid w:val="005C1E6D"/>
    <w:rsid w:val="005C2224"/>
    <w:rsid w:val="005C2A5F"/>
    <w:rsid w:val="005C3178"/>
    <w:rsid w:val="005C48C6"/>
    <w:rsid w:val="005C5079"/>
    <w:rsid w:val="005C538D"/>
    <w:rsid w:val="005C626A"/>
    <w:rsid w:val="005D098F"/>
    <w:rsid w:val="005D0E0C"/>
    <w:rsid w:val="005D1087"/>
    <w:rsid w:val="005D169C"/>
    <w:rsid w:val="005D250D"/>
    <w:rsid w:val="005D2B54"/>
    <w:rsid w:val="005D38A1"/>
    <w:rsid w:val="005D40AC"/>
    <w:rsid w:val="005D4380"/>
    <w:rsid w:val="005D49D5"/>
    <w:rsid w:val="005D6E94"/>
    <w:rsid w:val="005D7F42"/>
    <w:rsid w:val="005E1BE6"/>
    <w:rsid w:val="005E3CE0"/>
    <w:rsid w:val="005E510D"/>
    <w:rsid w:val="005E59F9"/>
    <w:rsid w:val="005F0ECB"/>
    <w:rsid w:val="005F2818"/>
    <w:rsid w:val="005F3190"/>
    <w:rsid w:val="005F4950"/>
    <w:rsid w:val="005F5539"/>
    <w:rsid w:val="005F5EAB"/>
    <w:rsid w:val="005F6FFE"/>
    <w:rsid w:val="005F7066"/>
    <w:rsid w:val="005F79E6"/>
    <w:rsid w:val="00601565"/>
    <w:rsid w:val="00601FC9"/>
    <w:rsid w:val="00605488"/>
    <w:rsid w:val="00606611"/>
    <w:rsid w:val="0061269B"/>
    <w:rsid w:val="006134BB"/>
    <w:rsid w:val="00614220"/>
    <w:rsid w:val="006149A8"/>
    <w:rsid w:val="00614FFE"/>
    <w:rsid w:val="006157B5"/>
    <w:rsid w:val="006158F4"/>
    <w:rsid w:val="0061701F"/>
    <w:rsid w:val="00617E86"/>
    <w:rsid w:val="006212B7"/>
    <w:rsid w:val="00621BA6"/>
    <w:rsid w:val="00622CB2"/>
    <w:rsid w:val="006231A1"/>
    <w:rsid w:val="00623D56"/>
    <w:rsid w:val="00624566"/>
    <w:rsid w:val="0062549D"/>
    <w:rsid w:val="00625608"/>
    <w:rsid w:val="00625668"/>
    <w:rsid w:val="00625C39"/>
    <w:rsid w:val="00627F18"/>
    <w:rsid w:val="006316F9"/>
    <w:rsid w:val="0063179C"/>
    <w:rsid w:val="00632860"/>
    <w:rsid w:val="00634FAD"/>
    <w:rsid w:val="00635935"/>
    <w:rsid w:val="00635BEB"/>
    <w:rsid w:val="00637823"/>
    <w:rsid w:val="00642ECF"/>
    <w:rsid w:val="00643204"/>
    <w:rsid w:val="0064374E"/>
    <w:rsid w:val="00644D54"/>
    <w:rsid w:val="006450D0"/>
    <w:rsid w:val="0064761A"/>
    <w:rsid w:val="00651359"/>
    <w:rsid w:val="006522E9"/>
    <w:rsid w:val="00652B27"/>
    <w:rsid w:val="00654664"/>
    <w:rsid w:val="0065479D"/>
    <w:rsid w:val="00656738"/>
    <w:rsid w:val="00656BAE"/>
    <w:rsid w:val="00657E93"/>
    <w:rsid w:val="00660988"/>
    <w:rsid w:val="006619A9"/>
    <w:rsid w:val="00662660"/>
    <w:rsid w:val="00662C63"/>
    <w:rsid w:val="00664751"/>
    <w:rsid w:val="00664B24"/>
    <w:rsid w:val="00665658"/>
    <w:rsid w:val="006659DF"/>
    <w:rsid w:val="00666356"/>
    <w:rsid w:val="00667F95"/>
    <w:rsid w:val="00670294"/>
    <w:rsid w:val="00673061"/>
    <w:rsid w:val="006746DF"/>
    <w:rsid w:val="0067765F"/>
    <w:rsid w:val="00677F28"/>
    <w:rsid w:val="00681F8C"/>
    <w:rsid w:val="00682C5F"/>
    <w:rsid w:val="00684F2F"/>
    <w:rsid w:val="006859BF"/>
    <w:rsid w:val="00690F36"/>
    <w:rsid w:val="00690F49"/>
    <w:rsid w:val="006911FC"/>
    <w:rsid w:val="00692B56"/>
    <w:rsid w:val="0069471D"/>
    <w:rsid w:val="0069484E"/>
    <w:rsid w:val="00695B12"/>
    <w:rsid w:val="006A09D8"/>
    <w:rsid w:val="006A1020"/>
    <w:rsid w:val="006A13AB"/>
    <w:rsid w:val="006A2074"/>
    <w:rsid w:val="006A2186"/>
    <w:rsid w:val="006A46E8"/>
    <w:rsid w:val="006A4CFD"/>
    <w:rsid w:val="006A59E4"/>
    <w:rsid w:val="006A65F9"/>
    <w:rsid w:val="006A6705"/>
    <w:rsid w:val="006A7704"/>
    <w:rsid w:val="006A792A"/>
    <w:rsid w:val="006B074A"/>
    <w:rsid w:val="006B0FC1"/>
    <w:rsid w:val="006B1317"/>
    <w:rsid w:val="006B18BA"/>
    <w:rsid w:val="006B1B4B"/>
    <w:rsid w:val="006B284E"/>
    <w:rsid w:val="006B3131"/>
    <w:rsid w:val="006B3DAC"/>
    <w:rsid w:val="006B3FAB"/>
    <w:rsid w:val="006B42C1"/>
    <w:rsid w:val="006B4AA7"/>
    <w:rsid w:val="006B6772"/>
    <w:rsid w:val="006C2AE7"/>
    <w:rsid w:val="006C45FA"/>
    <w:rsid w:val="006C6A8D"/>
    <w:rsid w:val="006C76B4"/>
    <w:rsid w:val="006D1A36"/>
    <w:rsid w:val="006D21E3"/>
    <w:rsid w:val="006D2850"/>
    <w:rsid w:val="006D6DAD"/>
    <w:rsid w:val="006E07E5"/>
    <w:rsid w:val="006E1185"/>
    <w:rsid w:val="006E13AA"/>
    <w:rsid w:val="006E169C"/>
    <w:rsid w:val="006E16A4"/>
    <w:rsid w:val="006E1BA6"/>
    <w:rsid w:val="006E5106"/>
    <w:rsid w:val="006F0A0A"/>
    <w:rsid w:val="006F2A0A"/>
    <w:rsid w:val="006F3361"/>
    <w:rsid w:val="006F3BCA"/>
    <w:rsid w:val="006F3C99"/>
    <w:rsid w:val="006F4FFE"/>
    <w:rsid w:val="006F5C5B"/>
    <w:rsid w:val="00700111"/>
    <w:rsid w:val="0070078C"/>
    <w:rsid w:val="007018D6"/>
    <w:rsid w:val="0070294B"/>
    <w:rsid w:val="007042C0"/>
    <w:rsid w:val="00704E68"/>
    <w:rsid w:val="00706819"/>
    <w:rsid w:val="00707523"/>
    <w:rsid w:val="007078CD"/>
    <w:rsid w:val="00707DE3"/>
    <w:rsid w:val="00710E1D"/>
    <w:rsid w:val="0071135B"/>
    <w:rsid w:val="00711FFD"/>
    <w:rsid w:val="007122E9"/>
    <w:rsid w:val="00712317"/>
    <w:rsid w:val="00712F2D"/>
    <w:rsid w:val="00714B57"/>
    <w:rsid w:val="00715430"/>
    <w:rsid w:val="007154BC"/>
    <w:rsid w:val="00720383"/>
    <w:rsid w:val="0072141A"/>
    <w:rsid w:val="00721554"/>
    <w:rsid w:val="0072182A"/>
    <w:rsid w:val="007223BE"/>
    <w:rsid w:val="00722571"/>
    <w:rsid w:val="00725C82"/>
    <w:rsid w:val="007278DF"/>
    <w:rsid w:val="00727F7A"/>
    <w:rsid w:val="00732E0E"/>
    <w:rsid w:val="00732EF4"/>
    <w:rsid w:val="007349EF"/>
    <w:rsid w:val="00734F2A"/>
    <w:rsid w:val="00735B29"/>
    <w:rsid w:val="00737CF9"/>
    <w:rsid w:val="00741782"/>
    <w:rsid w:val="00743E0D"/>
    <w:rsid w:val="007456D7"/>
    <w:rsid w:val="00745F04"/>
    <w:rsid w:val="007476D8"/>
    <w:rsid w:val="00752C42"/>
    <w:rsid w:val="00753038"/>
    <w:rsid w:val="00754226"/>
    <w:rsid w:val="007554D6"/>
    <w:rsid w:val="00755F59"/>
    <w:rsid w:val="0075772C"/>
    <w:rsid w:val="007577EC"/>
    <w:rsid w:val="0076055B"/>
    <w:rsid w:val="0076162C"/>
    <w:rsid w:val="00763B30"/>
    <w:rsid w:val="00766360"/>
    <w:rsid w:val="007663BA"/>
    <w:rsid w:val="007668D7"/>
    <w:rsid w:val="007704EA"/>
    <w:rsid w:val="00770671"/>
    <w:rsid w:val="00770B64"/>
    <w:rsid w:val="007712C2"/>
    <w:rsid w:val="0077137F"/>
    <w:rsid w:val="00772321"/>
    <w:rsid w:val="007729A0"/>
    <w:rsid w:val="00774B8F"/>
    <w:rsid w:val="007777A4"/>
    <w:rsid w:val="00780442"/>
    <w:rsid w:val="00781498"/>
    <w:rsid w:val="00781597"/>
    <w:rsid w:val="00783233"/>
    <w:rsid w:val="0078398B"/>
    <w:rsid w:val="007840FD"/>
    <w:rsid w:val="007847F4"/>
    <w:rsid w:val="00784A54"/>
    <w:rsid w:val="0078753E"/>
    <w:rsid w:val="00792272"/>
    <w:rsid w:val="00793B15"/>
    <w:rsid w:val="00794412"/>
    <w:rsid w:val="007946E4"/>
    <w:rsid w:val="007960C0"/>
    <w:rsid w:val="0079728D"/>
    <w:rsid w:val="007972D8"/>
    <w:rsid w:val="007A1CE6"/>
    <w:rsid w:val="007A28CB"/>
    <w:rsid w:val="007A2EE9"/>
    <w:rsid w:val="007A3B9E"/>
    <w:rsid w:val="007A3C1A"/>
    <w:rsid w:val="007B0C73"/>
    <w:rsid w:val="007B0D4D"/>
    <w:rsid w:val="007B17F7"/>
    <w:rsid w:val="007B403A"/>
    <w:rsid w:val="007B4FB7"/>
    <w:rsid w:val="007B66B7"/>
    <w:rsid w:val="007B7140"/>
    <w:rsid w:val="007C07F5"/>
    <w:rsid w:val="007C1C92"/>
    <w:rsid w:val="007C22E2"/>
    <w:rsid w:val="007C2C04"/>
    <w:rsid w:val="007C3242"/>
    <w:rsid w:val="007C3C19"/>
    <w:rsid w:val="007C42D5"/>
    <w:rsid w:val="007C46FC"/>
    <w:rsid w:val="007C6BE6"/>
    <w:rsid w:val="007D0437"/>
    <w:rsid w:val="007D08D1"/>
    <w:rsid w:val="007D242D"/>
    <w:rsid w:val="007D2811"/>
    <w:rsid w:val="007D2BA1"/>
    <w:rsid w:val="007D5602"/>
    <w:rsid w:val="007D5FEC"/>
    <w:rsid w:val="007D6339"/>
    <w:rsid w:val="007D6A43"/>
    <w:rsid w:val="007D74EE"/>
    <w:rsid w:val="007D7C8A"/>
    <w:rsid w:val="007E037C"/>
    <w:rsid w:val="007E3B60"/>
    <w:rsid w:val="007E4239"/>
    <w:rsid w:val="007E4D46"/>
    <w:rsid w:val="007E4F0C"/>
    <w:rsid w:val="007E523C"/>
    <w:rsid w:val="007E53C1"/>
    <w:rsid w:val="007E5D0B"/>
    <w:rsid w:val="007E7675"/>
    <w:rsid w:val="007E7F5C"/>
    <w:rsid w:val="007F04D4"/>
    <w:rsid w:val="007F150B"/>
    <w:rsid w:val="007F1CF3"/>
    <w:rsid w:val="007F36B2"/>
    <w:rsid w:val="007F4B17"/>
    <w:rsid w:val="007F4DF8"/>
    <w:rsid w:val="007F5517"/>
    <w:rsid w:val="007F5B87"/>
    <w:rsid w:val="007F5CF6"/>
    <w:rsid w:val="007F6745"/>
    <w:rsid w:val="007F682E"/>
    <w:rsid w:val="007F6C43"/>
    <w:rsid w:val="007F779B"/>
    <w:rsid w:val="008005AD"/>
    <w:rsid w:val="008009CA"/>
    <w:rsid w:val="0080192B"/>
    <w:rsid w:val="00801F00"/>
    <w:rsid w:val="0080397C"/>
    <w:rsid w:val="008039D3"/>
    <w:rsid w:val="00805AAE"/>
    <w:rsid w:val="008071C0"/>
    <w:rsid w:val="00810742"/>
    <w:rsid w:val="00811356"/>
    <w:rsid w:val="0081393A"/>
    <w:rsid w:val="0081428F"/>
    <w:rsid w:val="00814F7C"/>
    <w:rsid w:val="00815365"/>
    <w:rsid w:val="008164F6"/>
    <w:rsid w:val="008172FD"/>
    <w:rsid w:val="0082113B"/>
    <w:rsid w:val="00823EEC"/>
    <w:rsid w:val="00824BB3"/>
    <w:rsid w:val="0082524E"/>
    <w:rsid w:val="008277A0"/>
    <w:rsid w:val="008311A2"/>
    <w:rsid w:val="00831A79"/>
    <w:rsid w:val="00831D70"/>
    <w:rsid w:val="008335CE"/>
    <w:rsid w:val="00833872"/>
    <w:rsid w:val="00836FE0"/>
    <w:rsid w:val="008370D9"/>
    <w:rsid w:val="008401E1"/>
    <w:rsid w:val="00840873"/>
    <w:rsid w:val="00840B68"/>
    <w:rsid w:val="008425CB"/>
    <w:rsid w:val="008426E4"/>
    <w:rsid w:val="00842BAE"/>
    <w:rsid w:val="00844B6A"/>
    <w:rsid w:val="008450C2"/>
    <w:rsid w:val="00845FE3"/>
    <w:rsid w:val="008469B3"/>
    <w:rsid w:val="0084734E"/>
    <w:rsid w:val="00847A54"/>
    <w:rsid w:val="008502EC"/>
    <w:rsid w:val="0085034C"/>
    <w:rsid w:val="00851993"/>
    <w:rsid w:val="0085308A"/>
    <w:rsid w:val="00854274"/>
    <w:rsid w:val="00854EBE"/>
    <w:rsid w:val="008551F7"/>
    <w:rsid w:val="00857A64"/>
    <w:rsid w:val="00857E42"/>
    <w:rsid w:val="008603EA"/>
    <w:rsid w:val="0086125B"/>
    <w:rsid w:val="0086189F"/>
    <w:rsid w:val="00861D3E"/>
    <w:rsid w:val="00864D8C"/>
    <w:rsid w:val="00865867"/>
    <w:rsid w:val="008658F1"/>
    <w:rsid w:val="00866EE6"/>
    <w:rsid w:val="00867A82"/>
    <w:rsid w:val="00870121"/>
    <w:rsid w:val="00871009"/>
    <w:rsid w:val="0087108A"/>
    <w:rsid w:val="0087126C"/>
    <w:rsid w:val="00871344"/>
    <w:rsid w:val="00876C75"/>
    <w:rsid w:val="008802B7"/>
    <w:rsid w:val="00882630"/>
    <w:rsid w:val="00882AD6"/>
    <w:rsid w:val="0088380C"/>
    <w:rsid w:val="008840EA"/>
    <w:rsid w:val="0088670C"/>
    <w:rsid w:val="008874BE"/>
    <w:rsid w:val="0089111A"/>
    <w:rsid w:val="00892642"/>
    <w:rsid w:val="008949B3"/>
    <w:rsid w:val="008952A3"/>
    <w:rsid w:val="008956BC"/>
    <w:rsid w:val="008965E2"/>
    <w:rsid w:val="0089707A"/>
    <w:rsid w:val="008A41E7"/>
    <w:rsid w:val="008A5B3E"/>
    <w:rsid w:val="008A5EE7"/>
    <w:rsid w:val="008A5F77"/>
    <w:rsid w:val="008B0C85"/>
    <w:rsid w:val="008B22F4"/>
    <w:rsid w:val="008B2427"/>
    <w:rsid w:val="008B32DF"/>
    <w:rsid w:val="008B4452"/>
    <w:rsid w:val="008B5977"/>
    <w:rsid w:val="008B5CD9"/>
    <w:rsid w:val="008B5DB7"/>
    <w:rsid w:val="008B692C"/>
    <w:rsid w:val="008B6E60"/>
    <w:rsid w:val="008B767F"/>
    <w:rsid w:val="008C2B38"/>
    <w:rsid w:val="008C30BA"/>
    <w:rsid w:val="008D1E0D"/>
    <w:rsid w:val="008D6122"/>
    <w:rsid w:val="008D687B"/>
    <w:rsid w:val="008D74AF"/>
    <w:rsid w:val="008E01AA"/>
    <w:rsid w:val="008E1D12"/>
    <w:rsid w:val="008E3D5A"/>
    <w:rsid w:val="008E4452"/>
    <w:rsid w:val="008E4D1D"/>
    <w:rsid w:val="008E5851"/>
    <w:rsid w:val="008F1B09"/>
    <w:rsid w:val="008F3164"/>
    <w:rsid w:val="008F42B1"/>
    <w:rsid w:val="008F44EE"/>
    <w:rsid w:val="008F6E07"/>
    <w:rsid w:val="00900B0F"/>
    <w:rsid w:val="0090199F"/>
    <w:rsid w:val="009043CF"/>
    <w:rsid w:val="00904C33"/>
    <w:rsid w:val="00904F52"/>
    <w:rsid w:val="00906DFA"/>
    <w:rsid w:val="00907349"/>
    <w:rsid w:val="009076FE"/>
    <w:rsid w:val="009100A9"/>
    <w:rsid w:val="00910947"/>
    <w:rsid w:val="009109EC"/>
    <w:rsid w:val="00914F12"/>
    <w:rsid w:val="009153E8"/>
    <w:rsid w:val="009166E4"/>
    <w:rsid w:val="00916778"/>
    <w:rsid w:val="00917313"/>
    <w:rsid w:val="009174A1"/>
    <w:rsid w:val="009200CA"/>
    <w:rsid w:val="00921E77"/>
    <w:rsid w:val="00923377"/>
    <w:rsid w:val="009239AF"/>
    <w:rsid w:val="00926805"/>
    <w:rsid w:val="00927322"/>
    <w:rsid w:val="009313C2"/>
    <w:rsid w:val="00931B3B"/>
    <w:rsid w:val="00932720"/>
    <w:rsid w:val="0093298B"/>
    <w:rsid w:val="00932A43"/>
    <w:rsid w:val="00933D71"/>
    <w:rsid w:val="009347EE"/>
    <w:rsid w:val="00934E5B"/>
    <w:rsid w:val="00935519"/>
    <w:rsid w:val="009355AD"/>
    <w:rsid w:val="00941CB9"/>
    <w:rsid w:val="009462F9"/>
    <w:rsid w:val="0095038F"/>
    <w:rsid w:val="0095164C"/>
    <w:rsid w:val="009516E4"/>
    <w:rsid w:val="009547D9"/>
    <w:rsid w:val="00954831"/>
    <w:rsid w:val="009554E3"/>
    <w:rsid w:val="00955B7A"/>
    <w:rsid w:val="00960681"/>
    <w:rsid w:val="009619F0"/>
    <w:rsid w:val="00962C9C"/>
    <w:rsid w:val="00962CAB"/>
    <w:rsid w:val="00963ACC"/>
    <w:rsid w:val="009644BE"/>
    <w:rsid w:val="00965A21"/>
    <w:rsid w:val="00965ABA"/>
    <w:rsid w:val="009669CF"/>
    <w:rsid w:val="00966CD1"/>
    <w:rsid w:val="00966F8A"/>
    <w:rsid w:val="0096743A"/>
    <w:rsid w:val="00970D77"/>
    <w:rsid w:val="0097354D"/>
    <w:rsid w:val="00976249"/>
    <w:rsid w:val="00976B66"/>
    <w:rsid w:val="00976E11"/>
    <w:rsid w:val="00977D95"/>
    <w:rsid w:val="0098160B"/>
    <w:rsid w:val="00982C10"/>
    <w:rsid w:val="00982EA3"/>
    <w:rsid w:val="00983CBA"/>
    <w:rsid w:val="00984117"/>
    <w:rsid w:val="00984F7B"/>
    <w:rsid w:val="00996527"/>
    <w:rsid w:val="00996A1D"/>
    <w:rsid w:val="0099727F"/>
    <w:rsid w:val="009973FF"/>
    <w:rsid w:val="009A1C53"/>
    <w:rsid w:val="009A5F6A"/>
    <w:rsid w:val="009A6679"/>
    <w:rsid w:val="009B0673"/>
    <w:rsid w:val="009B0B9D"/>
    <w:rsid w:val="009B0F45"/>
    <w:rsid w:val="009B2163"/>
    <w:rsid w:val="009B2EEB"/>
    <w:rsid w:val="009B724C"/>
    <w:rsid w:val="009B73DB"/>
    <w:rsid w:val="009C09D9"/>
    <w:rsid w:val="009C0CFE"/>
    <w:rsid w:val="009C121C"/>
    <w:rsid w:val="009C2EB6"/>
    <w:rsid w:val="009C6B48"/>
    <w:rsid w:val="009C70F2"/>
    <w:rsid w:val="009D172A"/>
    <w:rsid w:val="009D335E"/>
    <w:rsid w:val="009D3581"/>
    <w:rsid w:val="009D40CA"/>
    <w:rsid w:val="009D4732"/>
    <w:rsid w:val="009D52FA"/>
    <w:rsid w:val="009D7B59"/>
    <w:rsid w:val="009E1A6A"/>
    <w:rsid w:val="009E2F3D"/>
    <w:rsid w:val="009E2FD6"/>
    <w:rsid w:val="009E3B21"/>
    <w:rsid w:val="009E4056"/>
    <w:rsid w:val="009E4463"/>
    <w:rsid w:val="009E53E1"/>
    <w:rsid w:val="009E57AA"/>
    <w:rsid w:val="009E6B67"/>
    <w:rsid w:val="009E75D4"/>
    <w:rsid w:val="009F0FE3"/>
    <w:rsid w:val="009F18D2"/>
    <w:rsid w:val="009F320F"/>
    <w:rsid w:val="009F3F50"/>
    <w:rsid w:val="009F401D"/>
    <w:rsid w:val="009F56F0"/>
    <w:rsid w:val="009F5A28"/>
    <w:rsid w:val="009F5E7B"/>
    <w:rsid w:val="009F683C"/>
    <w:rsid w:val="009F731F"/>
    <w:rsid w:val="00A00C86"/>
    <w:rsid w:val="00A05F90"/>
    <w:rsid w:val="00A06019"/>
    <w:rsid w:val="00A07FDB"/>
    <w:rsid w:val="00A11549"/>
    <w:rsid w:val="00A13E5F"/>
    <w:rsid w:val="00A15C51"/>
    <w:rsid w:val="00A1620C"/>
    <w:rsid w:val="00A1631D"/>
    <w:rsid w:val="00A216B1"/>
    <w:rsid w:val="00A22086"/>
    <w:rsid w:val="00A23194"/>
    <w:rsid w:val="00A23473"/>
    <w:rsid w:val="00A23CA8"/>
    <w:rsid w:val="00A244B2"/>
    <w:rsid w:val="00A27EBC"/>
    <w:rsid w:val="00A30249"/>
    <w:rsid w:val="00A3233C"/>
    <w:rsid w:val="00A3418E"/>
    <w:rsid w:val="00A352D5"/>
    <w:rsid w:val="00A36E1E"/>
    <w:rsid w:val="00A40995"/>
    <w:rsid w:val="00A40A9D"/>
    <w:rsid w:val="00A4262A"/>
    <w:rsid w:val="00A42FE7"/>
    <w:rsid w:val="00A43431"/>
    <w:rsid w:val="00A44D8D"/>
    <w:rsid w:val="00A4509C"/>
    <w:rsid w:val="00A45BCA"/>
    <w:rsid w:val="00A47B81"/>
    <w:rsid w:val="00A47FBB"/>
    <w:rsid w:val="00A503E2"/>
    <w:rsid w:val="00A50FDC"/>
    <w:rsid w:val="00A51E0F"/>
    <w:rsid w:val="00A52B82"/>
    <w:rsid w:val="00A54391"/>
    <w:rsid w:val="00A55708"/>
    <w:rsid w:val="00A56274"/>
    <w:rsid w:val="00A56CF0"/>
    <w:rsid w:val="00A5716F"/>
    <w:rsid w:val="00A63FD6"/>
    <w:rsid w:val="00A64986"/>
    <w:rsid w:val="00A709B3"/>
    <w:rsid w:val="00A71789"/>
    <w:rsid w:val="00A721A6"/>
    <w:rsid w:val="00A730E1"/>
    <w:rsid w:val="00A7351E"/>
    <w:rsid w:val="00A7356E"/>
    <w:rsid w:val="00A74265"/>
    <w:rsid w:val="00A742E6"/>
    <w:rsid w:val="00A74910"/>
    <w:rsid w:val="00A75ACB"/>
    <w:rsid w:val="00A76107"/>
    <w:rsid w:val="00A76245"/>
    <w:rsid w:val="00A7748E"/>
    <w:rsid w:val="00A8069F"/>
    <w:rsid w:val="00A81FE4"/>
    <w:rsid w:val="00A8213D"/>
    <w:rsid w:val="00A82AAC"/>
    <w:rsid w:val="00A82E14"/>
    <w:rsid w:val="00A830BA"/>
    <w:rsid w:val="00A834E1"/>
    <w:rsid w:val="00A83F9B"/>
    <w:rsid w:val="00A85271"/>
    <w:rsid w:val="00A86ADD"/>
    <w:rsid w:val="00A86BE8"/>
    <w:rsid w:val="00A87CBC"/>
    <w:rsid w:val="00A905C9"/>
    <w:rsid w:val="00A91A8F"/>
    <w:rsid w:val="00A93411"/>
    <w:rsid w:val="00A93F10"/>
    <w:rsid w:val="00A94AA4"/>
    <w:rsid w:val="00A95BFC"/>
    <w:rsid w:val="00A97056"/>
    <w:rsid w:val="00A97D86"/>
    <w:rsid w:val="00AA014C"/>
    <w:rsid w:val="00AA02CE"/>
    <w:rsid w:val="00AA04BD"/>
    <w:rsid w:val="00AA2B93"/>
    <w:rsid w:val="00AA3D4A"/>
    <w:rsid w:val="00AA513E"/>
    <w:rsid w:val="00AA5C1C"/>
    <w:rsid w:val="00AA5FA9"/>
    <w:rsid w:val="00AA6488"/>
    <w:rsid w:val="00AB0640"/>
    <w:rsid w:val="00AB1797"/>
    <w:rsid w:val="00AB2618"/>
    <w:rsid w:val="00AB3441"/>
    <w:rsid w:val="00AB3B54"/>
    <w:rsid w:val="00AB3F01"/>
    <w:rsid w:val="00AB4D01"/>
    <w:rsid w:val="00AB7803"/>
    <w:rsid w:val="00AB7982"/>
    <w:rsid w:val="00AC1812"/>
    <w:rsid w:val="00AC1C66"/>
    <w:rsid w:val="00AC41F6"/>
    <w:rsid w:val="00AC7D46"/>
    <w:rsid w:val="00AD1D5A"/>
    <w:rsid w:val="00AD2EA4"/>
    <w:rsid w:val="00AD68B2"/>
    <w:rsid w:val="00AE12D6"/>
    <w:rsid w:val="00AE391C"/>
    <w:rsid w:val="00AE4C8F"/>
    <w:rsid w:val="00AE5B46"/>
    <w:rsid w:val="00AE695E"/>
    <w:rsid w:val="00AE6BCB"/>
    <w:rsid w:val="00AE6DC7"/>
    <w:rsid w:val="00AF037A"/>
    <w:rsid w:val="00AF048B"/>
    <w:rsid w:val="00AF2C55"/>
    <w:rsid w:val="00AF3209"/>
    <w:rsid w:val="00AF3E08"/>
    <w:rsid w:val="00AF4470"/>
    <w:rsid w:val="00AF4CC9"/>
    <w:rsid w:val="00AF4CD6"/>
    <w:rsid w:val="00AF52D7"/>
    <w:rsid w:val="00AF61DE"/>
    <w:rsid w:val="00AF7845"/>
    <w:rsid w:val="00AF79B6"/>
    <w:rsid w:val="00AF7DC2"/>
    <w:rsid w:val="00AF7DF2"/>
    <w:rsid w:val="00B00BE8"/>
    <w:rsid w:val="00B00C4E"/>
    <w:rsid w:val="00B01D3F"/>
    <w:rsid w:val="00B02238"/>
    <w:rsid w:val="00B02ED0"/>
    <w:rsid w:val="00B034D3"/>
    <w:rsid w:val="00B047A1"/>
    <w:rsid w:val="00B049CA"/>
    <w:rsid w:val="00B063CA"/>
    <w:rsid w:val="00B07170"/>
    <w:rsid w:val="00B10098"/>
    <w:rsid w:val="00B10D93"/>
    <w:rsid w:val="00B10EA5"/>
    <w:rsid w:val="00B12CF7"/>
    <w:rsid w:val="00B14EFF"/>
    <w:rsid w:val="00B164EF"/>
    <w:rsid w:val="00B165C1"/>
    <w:rsid w:val="00B1670A"/>
    <w:rsid w:val="00B17233"/>
    <w:rsid w:val="00B208F7"/>
    <w:rsid w:val="00B23519"/>
    <w:rsid w:val="00B25811"/>
    <w:rsid w:val="00B2718D"/>
    <w:rsid w:val="00B27C3F"/>
    <w:rsid w:val="00B30C1B"/>
    <w:rsid w:val="00B30C2C"/>
    <w:rsid w:val="00B31001"/>
    <w:rsid w:val="00B31C00"/>
    <w:rsid w:val="00B32346"/>
    <w:rsid w:val="00B326AE"/>
    <w:rsid w:val="00B32A31"/>
    <w:rsid w:val="00B3355E"/>
    <w:rsid w:val="00B33CE7"/>
    <w:rsid w:val="00B3486D"/>
    <w:rsid w:val="00B36215"/>
    <w:rsid w:val="00B37890"/>
    <w:rsid w:val="00B37EF0"/>
    <w:rsid w:val="00B424F7"/>
    <w:rsid w:val="00B435D6"/>
    <w:rsid w:val="00B440EF"/>
    <w:rsid w:val="00B467CB"/>
    <w:rsid w:val="00B46B8B"/>
    <w:rsid w:val="00B46B9C"/>
    <w:rsid w:val="00B508DC"/>
    <w:rsid w:val="00B50C91"/>
    <w:rsid w:val="00B50D8F"/>
    <w:rsid w:val="00B51197"/>
    <w:rsid w:val="00B512E3"/>
    <w:rsid w:val="00B51B05"/>
    <w:rsid w:val="00B524E5"/>
    <w:rsid w:val="00B535DF"/>
    <w:rsid w:val="00B53B2A"/>
    <w:rsid w:val="00B54FBB"/>
    <w:rsid w:val="00B552A3"/>
    <w:rsid w:val="00B555AB"/>
    <w:rsid w:val="00B561D8"/>
    <w:rsid w:val="00B6041A"/>
    <w:rsid w:val="00B617D5"/>
    <w:rsid w:val="00B61930"/>
    <w:rsid w:val="00B63B13"/>
    <w:rsid w:val="00B677F4"/>
    <w:rsid w:val="00B70027"/>
    <w:rsid w:val="00B70126"/>
    <w:rsid w:val="00B710D9"/>
    <w:rsid w:val="00B71630"/>
    <w:rsid w:val="00B739B0"/>
    <w:rsid w:val="00B73E43"/>
    <w:rsid w:val="00B7438E"/>
    <w:rsid w:val="00B744A1"/>
    <w:rsid w:val="00B74678"/>
    <w:rsid w:val="00B8007B"/>
    <w:rsid w:val="00B8268A"/>
    <w:rsid w:val="00B82D3A"/>
    <w:rsid w:val="00B83519"/>
    <w:rsid w:val="00B83AC6"/>
    <w:rsid w:val="00B83B2B"/>
    <w:rsid w:val="00B851EF"/>
    <w:rsid w:val="00B86919"/>
    <w:rsid w:val="00B90FD2"/>
    <w:rsid w:val="00B9383A"/>
    <w:rsid w:val="00B94A19"/>
    <w:rsid w:val="00B9509A"/>
    <w:rsid w:val="00B95D21"/>
    <w:rsid w:val="00B95EEA"/>
    <w:rsid w:val="00B962FF"/>
    <w:rsid w:val="00B9640F"/>
    <w:rsid w:val="00B96504"/>
    <w:rsid w:val="00B965A0"/>
    <w:rsid w:val="00BA0809"/>
    <w:rsid w:val="00BA121C"/>
    <w:rsid w:val="00BA15C5"/>
    <w:rsid w:val="00BA173C"/>
    <w:rsid w:val="00BA4330"/>
    <w:rsid w:val="00BA4FA5"/>
    <w:rsid w:val="00BA6929"/>
    <w:rsid w:val="00BA6971"/>
    <w:rsid w:val="00BA7641"/>
    <w:rsid w:val="00BB018F"/>
    <w:rsid w:val="00BB0337"/>
    <w:rsid w:val="00BB1393"/>
    <w:rsid w:val="00BB34D7"/>
    <w:rsid w:val="00BB3D64"/>
    <w:rsid w:val="00BB3FB0"/>
    <w:rsid w:val="00BB4EED"/>
    <w:rsid w:val="00BB5888"/>
    <w:rsid w:val="00BB76E8"/>
    <w:rsid w:val="00BC23CF"/>
    <w:rsid w:val="00BC4786"/>
    <w:rsid w:val="00BC676B"/>
    <w:rsid w:val="00BC6C6C"/>
    <w:rsid w:val="00BC782B"/>
    <w:rsid w:val="00BD3297"/>
    <w:rsid w:val="00BD3481"/>
    <w:rsid w:val="00BD6D01"/>
    <w:rsid w:val="00BD74AE"/>
    <w:rsid w:val="00BD750A"/>
    <w:rsid w:val="00BE0230"/>
    <w:rsid w:val="00BE050D"/>
    <w:rsid w:val="00BE28AC"/>
    <w:rsid w:val="00BE2C4C"/>
    <w:rsid w:val="00BE2EDF"/>
    <w:rsid w:val="00BE4FB9"/>
    <w:rsid w:val="00BF06BE"/>
    <w:rsid w:val="00BF2988"/>
    <w:rsid w:val="00BF3593"/>
    <w:rsid w:val="00BF4869"/>
    <w:rsid w:val="00BF4FB9"/>
    <w:rsid w:val="00BF5882"/>
    <w:rsid w:val="00BF5C78"/>
    <w:rsid w:val="00BF7B3C"/>
    <w:rsid w:val="00C00F79"/>
    <w:rsid w:val="00C01AE5"/>
    <w:rsid w:val="00C01C42"/>
    <w:rsid w:val="00C0229D"/>
    <w:rsid w:val="00C03315"/>
    <w:rsid w:val="00C03CF7"/>
    <w:rsid w:val="00C03F68"/>
    <w:rsid w:val="00C04161"/>
    <w:rsid w:val="00C05673"/>
    <w:rsid w:val="00C05DE9"/>
    <w:rsid w:val="00C11D2F"/>
    <w:rsid w:val="00C14651"/>
    <w:rsid w:val="00C15548"/>
    <w:rsid w:val="00C15ADF"/>
    <w:rsid w:val="00C1751C"/>
    <w:rsid w:val="00C235E9"/>
    <w:rsid w:val="00C23D87"/>
    <w:rsid w:val="00C26474"/>
    <w:rsid w:val="00C27902"/>
    <w:rsid w:val="00C27969"/>
    <w:rsid w:val="00C27CAE"/>
    <w:rsid w:val="00C31323"/>
    <w:rsid w:val="00C32DD8"/>
    <w:rsid w:val="00C34D61"/>
    <w:rsid w:val="00C36D22"/>
    <w:rsid w:val="00C4007F"/>
    <w:rsid w:val="00C41CCC"/>
    <w:rsid w:val="00C421EF"/>
    <w:rsid w:val="00C4234E"/>
    <w:rsid w:val="00C4289C"/>
    <w:rsid w:val="00C437AD"/>
    <w:rsid w:val="00C43C97"/>
    <w:rsid w:val="00C43DF4"/>
    <w:rsid w:val="00C442F4"/>
    <w:rsid w:val="00C44969"/>
    <w:rsid w:val="00C4501C"/>
    <w:rsid w:val="00C47BFA"/>
    <w:rsid w:val="00C51530"/>
    <w:rsid w:val="00C52A6A"/>
    <w:rsid w:val="00C52CB4"/>
    <w:rsid w:val="00C55A89"/>
    <w:rsid w:val="00C5639E"/>
    <w:rsid w:val="00C5776F"/>
    <w:rsid w:val="00C61580"/>
    <w:rsid w:val="00C636F0"/>
    <w:rsid w:val="00C63721"/>
    <w:rsid w:val="00C63F24"/>
    <w:rsid w:val="00C655A1"/>
    <w:rsid w:val="00C657B8"/>
    <w:rsid w:val="00C66D53"/>
    <w:rsid w:val="00C66F14"/>
    <w:rsid w:val="00C67A6B"/>
    <w:rsid w:val="00C70478"/>
    <w:rsid w:val="00C70A74"/>
    <w:rsid w:val="00C727FD"/>
    <w:rsid w:val="00C72E72"/>
    <w:rsid w:val="00C73291"/>
    <w:rsid w:val="00C740F5"/>
    <w:rsid w:val="00C76639"/>
    <w:rsid w:val="00C770E8"/>
    <w:rsid w:val="00C81110"/>
    <w:rsid w:val="00C8144E"/>
    <w:rsid w:val="00C81F66"/>
    <w:rsid w:val="00C8213C"/>
    <w:rsid w:val="00C83944"/>
    <w:rsid w:val="00C83FEB"/>
    <w:rsid w:val="00C84CCD"/>
    <w:rsid w:val="00C86FC0"/>
    <w:rsid w:val="00C902C7"/>
    <w:rsid w:val="00C906E1"/>
    <w:rsid w:val="00C9134D"/>
    <w:rsid w:val="00C91872"/>
    <w:rsid w:val="00C922EA"/>
    <w:rsid w:val="00C93567"/>
    <w:rsid w:val="00C95DF5"/>
    <w:rsid w:val="00C96CCF"/>
    <w:rsid w:val="00C973B0"/>
    <w:rsid w:val="00CA0DC8"/>
    <w:rsid w:val="00CA5BFE"/>
    <w:rsid w:val="00CA74A3"/>
    <w:rsid w:val="00CA74DF"/>
    <w:rsid w:val="00CA7947"/>
    <w:rsid w:val="00CB12F7"/>
    <w:rsid w:val="00CB14FE"/>
    <w:rsid w:val="00CB22C3"/>
    <w:rsid w:val="00CB2E1E"/>
    <w:rsid w:val="00CB3D21"/>
    <w:rsid w:val="00CB480A"/>
    <w:rsid w:val="00CB52F6"/>
    <w:rsid w:val="00CB583B"/>
    <w:rsid w:val="00CB620E"/>
    <w:rsid w:val="00CB7401"/>
    <w:rsid w:val="00CC084C"/>
    <w:rsid w:val="00CC4558"/>
    <w:rsid w:val="00CC45B6"/>
    <w:rsid w:val="00CC4E34"/>
    <w:rsid w:val="00CC7DAE"/>
    <w:rsid w:val="00CD2FCE"/>
    <w:rsid w:val="00CD38E6"/>
    <w:rsid w:val="00CD4A0B"/>
    <w:rsid w:val="00CD4D18"/>
    <w:rsid w:val="00CD5481"/>
    <w:rsid w:val="00CD5B05"/>
    <w:rsid w:val="00CD64B5"/>
    <w:rsid w:val="00CD6DFD"/>
    <w:rsid w:val="00CE0365"/>
    <w:rsid w:val="00CE1484"/>
    <w:rsid w:val="00CE19D3"/>
    <w:rsid w:val="00CE27BE"/>
    <w:rsid w:val="00CE400E"/>
    <w:rsid w:val="00CE4BBA"/>
    <w:rsid w:val="00CE4E5D"/>
    <w:rsid w:val="00CE7423"/>
    <w:rsid w:val="00CF0502"/>
    <w:rsid w:val="00CF2CFE"/>
    <w:rsid w:val="00CF2E61"/>
    <w:rsid w:val="00CF389D"/>
    <w:rsid w:val="00CF6837"/>
    <w:rsid w:val="00CF6CCD"/>
    <w:rsid w:val="00CF75C3"/>
    <w:rsid w:val="00D0141E"/>
    <w:rsid w:val="00D01C97"/>
    <w:rsid w:val="00D02E49"/>
    <w:rsid w:val="00D033D6"/>
    <w:rsid w:val="00D03BDD"/>
    <w:rsid w:val="00D05465"/>
    <w:rsid w:val="00D05F1F"/>
    <w:rsid w:val="00D05F2E"/>
    <w:rsid w:val="00D06C36"/>
    <w:rsid w:val="00D075DF"/>
    <w:rsid w:val="00D07908"/>
    <w:rsid w:val="00D1181D"/>
    <w:rsid w:val="00D1291E"/>
    <w:rsid w:val="00D13897"/>
    <w:rsid w:val="00D157FD"/>
    <w:rsid w:val="00D15EBF"/>
    <w:rsid w:val="00D174B9"/>
    <w:rsid w:val="00D20479"/>
    <w:rsid w:val="00D2061A"/>
    <w:rsid w:val="00D20E6A"/>
    <w:rsid w:val="00D21911"/>
    <w:rsid w:val="00D22228"/>
    <w:rsid w:val="00D231C5"/>
    <w:rsid w:val="00D23D42"/>
    <w:rsid w:val="00D24014"/>
    <w:rsid w:val="00D25ABE"/>
    <w:rsid w:val="00D26B81"/>
    <w:rsid w:val="00D27AC2"/>
    <w:rsid w:val="00D31479"/>
    <w:rsid w:val="00D317D4"/>
    <w:rsid w:val="00D33000"/>
    <w:rsid w:val="00D33279"/>
    <w:rsid w:val="00D333FC"/>
    <w:rsid w:val="00D33ABC"/>
    <w:rsid w:val="00D33DD7"/>
    <w:rsid w:val="00D34288"/>
    <w:rsid w:val="00D35101"/>
    <w:rsid w:val="00D35915"/>
    <w:rsid w:val="00D35BC5"/>
    <w:rsid w:val="00D35FA9"/>
    <w:rsid w:val="00D36142"/>
    <w:rsid w:val="00D368AF"/>
    <w:rsid w:val="00D374AB"/>
    <w:rsid w:val="00D37F79"/>
    <w:rsid w:val="00D40238"/>
    <w:rsid w:val="00D4283B"/>
    <w:rsid w:val="00D42A48"/>
    <w:rsid w:val="00D4429C"/>
    <w:rsid w:val="00D47E61"/>
    <w:rsid w:val="00D47F1D"/>
    <w:rsid w:val="00D51EA1"/>
    <w:rsid w:val="00D52C43"/>
    <w:rsid w:val="00D5332F"/>
    <w:rsid w:val="00D53909"/>
    <w:rsid w:val="00D53DCB"/>
    <w:rsid w:val="00D559F6"/>
    <w:rsid w:val="00D56378"/>
    <w:rsid w:val="00D56944"/>
    <w:rsid w:val="00D57946"/>
    <w:rsid w:val="00D60F3A"/>
    <w:rsid w:val="00D62CAE"/>
    <w:rsid w:val="00D63EE5"/>
    <w:rsid w:val="00D640B7"/>
    <w:rsid w:val="00D6431A"/>
    <w:rsid w:val="00D647B9"/>
    <w:rsid w:val="00D65513"/>
    <w:rsid w:val="00D656C7"/>
    <w:rsid w:val="00D67D0F"/>
    <w:rsid w:val="00D70475"/>
    <w:rsid w:val="00D708C5"/>
    <w:rsid w:val="00D70CB1"/>
    <w:rsid w:val="00D7119F"/>
    <w:rsid w:val="00D72795"/>
    <w:rsid w:val="00D72E77"/>
    <w:rsid w:val="00D73565"/>
    <w:rsid w:val="00D735B7"/>
    <w:rsid w:val="00D7371F"/>
    <w:rsid w:val="00D76371"/>
    <w:rsid w:val="00D76644"/>
    <w:rsid w:val="00D77CAE"/>
    <w:rsid w:val="00D8123B"/>
    <w:rsid w:val="00D82C4F"/>
    <w:rsid w:val="00D82EF4"/>
    <w:rsid w:val="00D83C53"/>
    <w:rsid w:val="00D83E85"/>
    <w:rsid w:val="00D84684"/>
    <w:rsid w:val="00D854BE"/>
    <w:rsid w:val="00D8617B"/>
    <w:rsid w:val="00D863E6"/>
    <w:rsid w:val="00D87F5A"/>
    <w:rsid w:val="00D907F2"/>
    <w:rsid w:val="00D916DE"/>
    <w:rsid w:val="00D94041"/>
    <w:rsid w:val="00D958E8"/>
    <w:rsid w:val="00D9785A"/>
    <w:rsid w:val="00DA0D56"/>
    <w:rsid w:val="00DA1DA7"/>
    <w:rsid w:val="00DA2A1D"/>
    <w:rsid w:val="00DA427E"/>
    <w:rsid w:val="00DA456E"/>
    <w:rsid w:val="00DA5B02"/>
    <w:rsid w:val="00DA5F4A"/>
    <w:rsid w:val="00DA61F8"/>
    <w:rsid w:val="00DA7F79"/>
    <w:rsid w:val="00DB008F"/>
    <w:rsid w:val="00DB1659"/>
    <w:rsid w:val="00DB4484"/>
    <w:rsid w:val="00DB7ACA"/>
    <w:rsid w:val="00DC112A"/>
    <w:rsid w:val="00DC1DB4"/>
    <w:rsid w:val="00DC39C4"/>
    <w:rsid w:val="00DC4706"/>
    <w:rsid w:val="00DC599A"/>
    <w:rsid w:val="00DC5C28"/>
    <w:rsid w:val="00DC671E"/>
    <w:rsid w:val="00DD21CC"/>
    <w:rsid w:val="00DD26AF"/>
    <w:rsid w:val="00DD27D8"/>
    <w:rsid w:val="00DD28C1"/>
    <w:rsid w:val="00DD3338"/>
    <w:rsid w:val="00DD3576"/>
    <w:rsid w:val="00DD3635"/>
    <w:rsid w:val="00DD3E76"/>
    <w:rsid w:val="00DD41DE"/>
    <w:rsid w:val="00DD609F"/>
    <w:rsid w:val="00DD7B28"/>
    <w:rsid w:val="00DE0011"/>
    <w:rsid w:val="00DE2B60"/>
    <w:rsid w:val="00DE2DEE"/>
    <w:rsid w:val="00DE2EC7"/>
    <w:rsid w:val="00DE5573"/>
    <w:rsid w:val="00DE7075"/>
    <w:rsid w:val="00DE7413"/>
    <w:rsid w:val="00DF1591"/>
    <w:rsid w:val="00DF1FD9"/>
    <w:rsid w:val="00DF26FC"/>
    <w:rsid w:val="00DF2EC3"/>
    <w:rsid w:val="00DF37B1"/>
    <w:rsid w:val="00DF3D0B"/>
    <w:rsid w:val="00DF41EC"/>
    <w:rsid w:val="00DF44BB"/>
    <w:rsid w:val="00DF66C7"/>
    <w:rsid w:val="00DF7933"/>
    <w:rsid w:val="00E022BE"/>
    <w:rsid w:val="00E02D0C"/>
    <w:rsid w:val="00E034EC"/>
    <w:rsid w:val="00E0573E"/>
    <w:rsid w:val="00E06770"/>
    <w:rsid w:val="00E073D2"/>
    <w:rsid w:val="00E07A8A"/>
    <w:rsid w:val="00E1043C"/>
    <w:rsid w:val="00E11520"/>
    <w:rsid w:val="00E11EAC"/>
    <w:rsid w:val="00E13409"/>
    <w:rsid w:val="00E14B5C"/>
    <w:rsid w:val="00E1658F"/>
    <w:rsid w:val="00E16A5C"/>
    <w:rsid w:val="00E20C99"/>
    <w:rsid w:val="00E21A54"/>
    <w:rsid w:val="00E2420F"/>
    <w:rsid w:val="00E24760"/>
    <w:rsid w:val="00E247B1"/>
    <w:rsid w:val="00E24AA5"/>
    <w:rsid w:val="00E257FC"/>
    <w:rsid w:val="00E2639A"/>
    <w:rsid w:val="00E30260"/>
    <w:rsid w:val="00E3054A"/>
    <w:rsid w:val="00E32BC2"/>
    <w:rsid w:val="00E32BCA"/>
    <w:rsid w:val="00E32E82"/>
    <w:rsid w:val="00E33173"/>
    <w:rsid w:val="00E348D0"/>
    <w:rsid w:val="00E34DF6"/>
    <w:rsid w:val="00E35CEB"/>
    <w:rsid w:val="00E3604A"/>
    <w:rsid w:val="00E37503"/>
    <w:rsid w:val="00E412C5"/>
    <w:rsid w:val="00E41DDC"/>
    <w:rsid w:val="00E4238D"/>
    <w:rsid w:val="00E439FE"/>
    <w:rsid w:val="00E44149"/>
    <w:rsid w:val="00E44A79"/>
    <w:rsid w:val="00E44DCD"/>
    <w:rsid w:val="00E45869"/>
    <w:rsid w:val="00E45CB6"/>
    <w:rsid w:val="00E46005"/>
    <w:rsid w:val="00E46AD3"/>
    <w:rsid w:val="00E47C0C"/>
    <w:rsid w:val="00E51236"/>
    <w:rsid w:val="00E513D3"/>
    <w:rsid w:val="00E5152D"/>
    <w:rsid w:val="00E519D7"/>
    <w:rsid w:val="00E54F66"/>
    <w:rsid w:val="00E551FC"/>
    <w:rsid w:val="00E60EEE"/>
    <w:rsid w:val="00E615CC"/>
    <w:rsid w:val="00E6320E"/>
    <w:rsid w:val="00E63D16"/>
    <w:rsid w:val="00E660BA"/>
    <w:rsid w:val="00E6764D"/>
    <w:rsid w:val="00E70E97"/>
    <w:rsid w:val="00E731EB"/>
    <w:rsid w:val="00E73AFD"/>
    <w:rsid w:val="00E7590F"/>
    <w:rsid w:val="00E77281"/>
    <w:rsid w:val="00E801B1"/>
    <w:rsid w:val="00E80490"/>
    <w:rsid w:val="00E8084B"/>
    <w:rsid w:val="00E8093F"/>
    <w:rsid w:val="00E80CA8"/>
    <w:rsid w:val="00E80F4A"/>
    <w:rsid w:val="00E82BC6"/>
    <w:rsid w:val="00E84806"/>
    <w:rsid w:val="00E84EB1"/>
    <w:rsid w:val="00E852A6"/>
    <w:rsid w:val="00E863A0"/>
    <w:rsid w:val="00E86747"/>
    <w:rsid w:val="00E86C35"/>
    <w:rsid w:val="00E90A4B"/>
    <w:rsid w:val="00E927C1"/>
    <w:rsid w:val="00E92D16"/>
    <w:rsid w:val="00E92EBF"/>
    <w:rsid w:val="00E938A6"/>
    <w:rsid w:val="00E943D6"/>
    <w:rsid w:val="00E96F70"/>
    <w:rsid w:val="00EA02C4"/>
    <w:rsid w:val="00EA2302"/>
    <w:rsid w:val="00EA340E"/>
    <w:rsid w:val="00EA36F8"/>
    <w:rsid w:val="00EA398A"/>
    <w:rsid w:val="00EA3D11"/>
    <w:rsid w:val="00EA457E"/>
    <w:rsid w:val="00EA4DBF"/>
    <w:rsid w:val="00EA556B"/>
    <w:rsid w:val="00EA7B21"/>
    <w:rsid w:val="00EB0493"/>
    <w:rsid w:val="00EB216B"/>
    <w:rsid w:val="00EB2FD7"/>
    <w:rsid w:val="00EB4CAA"/>
    <w:rsid w:val="00EB6D02"/>
    <w:rsid w:val="00EB7CB0"/>
    <w:rsid w:val="00EB7D9F"/>
    <w:rsid w:val="00EC0A88"/>
    <w:rsid w:val="00EC19E0"/>
    <w:rsid w:val="00EC24A6"/>
    <w:rsid w:val="00EC2C45"/>
    <w:rsid w:val="00EC300C"/>
    <w:rsid w:val="00EC449C"/>
    <w:rsid w:val="00EC4B34"/>
    <w:rsid w:val="00EC536B"/>
    <w:rsid w:val="00EC5FA8"/>
    <w:rsid w:val="00ED00B7"/>
    <w:rsid w:val="00ED361F"/>
    <w:rsid w:val="00ED4B33"/>
    <w:rsid w:val="00ED77B6"/>
    <w:rsid w:val="00ED7D99"/>
    <w:rsid w:val="00ED7DA3"/>
    <w:rsid w:val="00EE0558"/>
    <w:rsid w:val="00EE1D29"/>
    <w:rsid w:val="00EE223C"/>
    <w:rsid w:val="00EE4616"/>
    <w:rsid w:val="00EE4D16"/>
    <w:rsid w:val="00EE5A93"/>
    <w:rsid w:val="00EE60B2"/>
    <w:rsid w:val="00EE709B"/>
    <w:rsid w:val="00EF1FD0"/>
    <w:rsid w:val="00EF236F"/>
    <w:rsid w:val="00EF2E90"/>
    <w:rsid w:val="00EF3940"/>
    <w:rsid w:val="00EF3AAF"/>
    <w:rsid w:val="00EF425A"/>
    <w:rsid w:val="00EF429A"/>
    <w:rsid w:val="00EF6F38"/>
    <w:rsid w:val="00EF73C0"/>
    <w:rsid w:val="00F00311"/>
    <w:rsid w:val="00F02A3F"/>
    <w:rsid w:val="00F02DF5"/>
    <w:rsid w:val="00F03D3F"/>
    <w:rsid w:val="00F100B1"/>
    <w:rsid w:val="00F12EB8"/>
    <w:rsid w:val="00F13794"/>
    <w:rsid w:val="00F13F61"/>
    <w:rsid w:val="00F1544A"/>
    <w:rsid w:val="00F176B6"/>
    <w:rsid w:val="00F208D2"/>
    <w:rsid w:val="00F212B2"/>
    <w:rsid w:val="00F21E59"/>
    <w:rsid w:val="00F22EB1"/>
    <w:rsid w:val="00F231D7"/>
    <w:rsid w:val="00F243D3"/>
    <w:rsid w:val="00F2558F"/>
    <w:rsid w:val="00F25762"/>
    <w:rsid w:val="00F2687E"/>
    <w:rsid w:val="00F30D71"/>
    <w:rsid w:val="00F31B45"/>
    <w:rsid w:val="00F33EF3"/>
    <w:rsid w:val="00F34FA3"/>
    <w:rsid w:val="00F37902"/>
    <w:rsid w:val="00F379C2"/>
    <w:rsid w:val="00F37DA4"/>
    <w:rsid w:val="00F406DC"/>
    <w:rsid w:val="00F407B0"/>
    <w:rsid w:val="00F425FB"/>
    <w:rsid w:val="00F43937"/>
    <w:rsid w:val="00F44AFA"/>
    <w:rsid w:val="00F45B55"/>
    <w:rsid w:val="00F46179"/>
    <w:rsid w:val="00F473DD"/>
    <w:rsid w:val="00F47A79"/>
    <w:rsid w:val="00F523BF"/>
    <w:rsid w:val="00F531F0"/>
    <w:rsid w:val="00F54160"/>
    <w:rsid w:val="00F5731C"/>
    <w:rsid w:val="00F60F7C"/>
    <w:rsid w:val="00F61CE9"/>
    <w:rsid w:val="00F6269D"/>
    <w:rsid w:val="00F62E10"/>
    <w:rsid w:val="00F62ECE"/>
    <w:rsid w:val="00F635EB"/>
    <w:rsid w:val="00F64184"/>
    <w:rsid w:val="00F64285"/>
    <w:rsid w:val="00F658FF"/>
    <w:rsid w:val="00F65AC8"/>
    <w:rsid w:val="00F670A3"/>
    <w:rsid w:val="00F67E7A"/>
    <w:rsid w:val="00F67F95"/>
    <w:rsid w:val="00F708C0"/>
    <w:rsid w:val="00F71E37"/>
    <w:rsid w:val="00F722F7"/>
    <w:rsid w:val="00F73AC4"/>
    <w:rsid w:val="00F744BF"/>
    <w:rsid w:val="00F763DA"/>
    <w:rsid w:val="00F765CA"/>
    <w:rsid w:val="00F802C0"/>
    <w:rsid w:val="00F809E3"/>
    <w:rsid w:val="00F812A4"/>
    <w:rsid w:val="00F81B78"/>
    <w:rsid w:val="00F82ED1"/>
    <w:rsid w:val="00F84257"/>
    <w:rsid w:val="00F84A28"/>
    <w:rsid w:val="00F84C38"/>
    <w:rsid w:val="00F85308"/>
    <w:rsid w:val="00F868D2"/>
    <w:rsid w:val="00F86F3C"/>
    <w:rsid w:val="00F90846"/>
    <w:rsid w:val="00F90A79"/>
    <w:rsid w:val="00F90FE5"/>
    <w:rsid w:val="00F91566"/>
    <w:rsid w:val="00F92085"/>
    <w:rsid w:val="00F931AA"/>
    <w:rsid w:val="00F93D1E"/>
    <w:rsid w:val="00F93D59"/>
    <w:rsid w:val="00F94961"/>
    <w:rsid w:val="00F9652E"/>
    <w:rsid w:val="00F97075"/>
    <w:rsid w:val="00F97812"/>
    <w:rsid w:val="00FA0C81"/>
    <w:rsid w:val="00FA228D"/>
    <w:rsid w:val="00FA24F3"/>
    <w:rsid w:val="00FA2EFF"/>
    <w:rsid w:val="00FA3CE5"/>
    <w:rsid w:val="00FA452D"/>
    <w:rsid w:val="00FA476E"/>
    <w:rsid w:val="00FA5071"/>
    <w:rsid w:val="00FA5314"/>
    <w:rsid w:val="00FA5391"/>
    <w:rsid w:val="00FA64B2"/>
    <w:rsid w:val="00FA703E"/>
    <w:rsid w:val="00FA7AAD"/>
    <w:rsid w:val="00FB047B"/>
    <w:rsid w:val="00FB08A4"/>
    <w:rsid w:val="00FB0D78"/>
    <w:rsid w:val="00FB1BAF"/>
    <w:rsid w:val="00FB2412"/>
    <w:rsid w:val="00FB7EFE"/>
    <w:rsid w:val="00FC01CC"/>
    <w:rsid w:val="00FC21AC"/>
    <w:rsid w:val="00FC3AEA"/>
    <w:rsid w:val="00FC4E4E"/>
    <w:rsid w:val="00FC5375"/>
    <w:rsid w:val="00FC5AD8"/>
    <w:rsid w:val="00FC6B20"/>
    <w:rsid w:val="00FC7901"/>
    <w:rsid w:val="00FC7C0E"/>
    <w:rsid w:val="00FD09B3"/>
    <w:rsid w:val="00FD3222"/>
    <w:rsid w:val="00FD3591"/>
    <w:rsid w:val="00FD39DF"/>
    <w:rsid w:val="00FD5E28"/>
    <w:rsid w:val="00FD7C71"/>
    <w:rsid w:val="00FD7CF0"/>
    <w:rsid w:val="00FE1BDF"/>
    <w:rsid w:val="00FE32D7"/>
    <w:rsid w:val="00FE3CC9"/>
    <w:rsid w:val="00FE3FE3"/>
    <w:rsid w:val="00FE4146"/>
    <w:rsid w:val="00FE7183"/>
    <w:rsid w:val="00FF03C2"/>
    <w:rsid w:val="00FF0C0D"/>
    <w:rsid w:val="00FF100D"/>
    <w:rsid w:val="00FF1389"/>
    <w:rsid w:val="00FF19F8"/>
    <w:rsid w:val="00FF453E"/>
    <w:rsid w:val="00FF7B01"/>
    <w:rsid w:val="04D7D28F"/>
    <w:rsid w:val="04FE8B12"/>
    <w:rsid w:val="074B854F"/>
    <w:rsid w:val="09EFBF14"/>
    <w:rsid w:val="09FBF4FF"/>
    <w:rsid w:val="0E9B0A1D"/>
    <w:rsid w:val="0F975CB8"/>
    <w:rsid w:val="0FCB8A32"/>
    <w:rsid w:val="15897576"/>
    <w:rsid w:val="180FE0E0"/>
    <w:rsid w:val="188AC706"/>
    <w:rsid w:val="1908B7DF"/>
    <w:rsid w:val="19FB7C9A"/>
    <w:rsid w:val="1AE89FBF"/>
    <w:rsid w:val="1D7B29CF"/>
    <w:rsid w:val="1DCAD315"/>
    <w:rsid w:val="1DD5DEFD"/>
    <w:rsid w:val="201D0667"/>
    <w:rsid w:val="216B6098"/>
    <w:rsid w:val="26A03F47"/>
    <w:rsid w:val="26D64A9B"/>
    <w:rsid w:val="277D5D2D"/>
    <w:rsid w:val="2A1D22F0"/>
    <w:rsid w:val="2B745ABD"/>
    <w:rsid w:val="31AE5BE6"/>
    <w:rsid w:val="31FD8BAD"/>
    <w:rsid w:val="349ADC4B"/>
    <w:rsid w:val="3841423D"/>
    <w:rsid w:val="3AAE6A09"/>
    <w:rsid w:val="3B274333"/>
    <w:rsid w:val="3DE050F5"/>
    <w:rsid w:val="3FF9559B"/>
    <w:rsid w:val="419C8966"/>
    <w:rsid w:val="478A71B8"/>
    <w:rsid w:val="47D2C64E"/>
    <w:rsid w:val="487B9D74"/>
    <w:rsid w:val="4A588703"/>
    <w:rsid w:val="4B774E0D"/>
    <w:rsid w:val="503363D6"/>
    <w:rsid w:val="50EB61E8"/>
    <w:rsid w:val="57EE22CE"/>
    <w:rsid w:val="599E909A"/>
    <w:rsid w:val="5A834C82"/>
    <w:rsid w:val="5B2EED67"/>
    <w:rsid w:val="61CCA4B3"/>
    <w:rsid w:val="630E38B6"/>
    <w:rsid w:val="64494BB1"/>
    <w:rsid w:val="66448096"/>
    <w:rsid w:val="675A7463"/>
    <w:rsid w:val="6B8B0667"/>
    <w:rsid w:val="70E70577"/>
    <w:rsid w:val="71A168C5"/>
    <w:rsid w:val="74A46234"/>
    <w:rsid w:val="785259C1"/>
    <w:rsid w:val="79029F5B"/>
    <w:rsid w:val="7AB0439F"/>
    <w:rsid w:val="7C418C86"/>
    <w:rsid w:val="7D1AC534"/>
    <w:rsid w:val="7D7F73EF"/>
    <w:rsid w:val="7E70FE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AA343"/>
  <w15:docId w15:val="{B31BD742-CF20-064C-AD02-DD1C4D5D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B07"/>
    <w:rPr>
      <w:rFonts w:ascii="Century Schoolbook" w:hAnsi="Century Schoolbook"/>
      <w:sz w:val="21"/>
    </w:rPr>
  </w:style>
  <w:style w:type="paragraph" w:styleId="Heading1">
    <w:name w:val="heading 1"/>
    <w:basedOn w:val="Normal"/>
    <w:next w:val="Normal"/>
    <w:link w:val="Heading1Char"/>
    <w:uiPriority w:val="9"/>
    <w:qFormat/>
    <w:rsid w:val="0004402C"/>
    <w:pPr>
      <w:keepNext/>
      <w:keepLines/>
      <w:outlineLvl w:val="0"/>
    </w:pPr>
    <w:rPr>
      <w:rFonts w:ascii="Times New Roman" w:eastAsiaTheme="majorEastAsia" w:hAnsi="Times New Roman" w:cstheme="majorBidi"/>
      <w:color w:val="365F91" w:themeColor="accent1" w:themeShade="BF"/>
      <w:sz w:val="24"/>
      <w:szCs w:val="40"/>
      <w:lang w:eastAsia="zh-CN"/>
    </w:rPr>
  </w:style>
  <w:style w:type="paragraph" w:styleId="Heading2">
    <w:name w:val="heading 2"/>
    <w:basedOn w:val="Normal"/>
    <w:next w:val="Normal"/>
    <w:link w:val="Heading2Char"/>
    <w:uiPriority w:val="9"/>
    <w:unhideWhenUsed/>
    <w:qFormat/>
    <w:rsid w:val="0004402C"/>
    <w:pPr>
      <w:keepNext/>
      <w:keepLines/>
      <w:outlineLvl w:val="1"/>
    </w:pPr>
    <w:rPr>
      <w:rFonts w:ascii="Times New Roman" w:eastAsiaTheme="majorEastAsia" w:hAnsi="Times New Roman" w:cstheme="majorBidi"/>
      <w:color w:val="365F91" w:themeColor="accent1" w:themeShade="BF"/>
      <w:sz w:val="24"/>
      <w:szCs w:val="32"/>
      <w:lang w:eastAsia="zh-CN"/>
    </w:rPr>
  </w:style>
  <w:style w:type="paragraph" w:styleId="Heading3">
    <w:name w:val="heading 3"/>
    <w:basedOn w:val="Normal"/>
    <w:next w:val="Normal"/>
    <w:link w:val="Heading3Char"/>
    <w:uiPriority w:val="9"/>
    <w:unhideWhenUsed/>
    <w:qFormat/>
    <w:rsid w:val="0004402C"/>
    <w:pPr>
      <w:spacing w:line="480" w:lineRule="auto"/>
      <w:ind w:firstLine="720"/>
      <w:jc w:val="both"/>
      <w:outlineLvl w:val="2"/>
    </w:pPr>
    <w:rPr>
      <w:rFonts w:ascii="Times New Roman" w:eastAsiaTheme="minorEastAsia" w:hAnsi="Times New Roman" w:cstheme="minorBidi"/>
      <w:sz w:val="24"/>
      <w:szCs w:val="24"/>
      <w:lang w:eastAsia="zh-CN"/>
    </w:rPr>
  </w:style>
  <w:style w:type="paragraph" w:styleId="Heading4">
    <w:name w:val="heading 4"/>
    <w:basedOn w:val="Heading3"/>
    <w:next w:val="Normal"/>
    <w:link w:val="Heading4Char"/>
    <w:uiPriority w:val="9"/>
    <w:unhideWhenUsed/>
    <w:qFormat/>
    <w:rsid w:val="0004402C"/>
    <w:pPr>
      <w:outlineLvl w:val="3"/>
    </w:pPr>
  </w:style>
  <w:style w:type="paragraph" w:styleId="Heading5">
    <w:name w:val="heading 5"/>
    <w:basedOn w:val="Normal"/>
    <w:next w:val="Normal"/>
    <w:link w:val="Heading5Char"/>
    <w:uiPriority w:val="9"/>
    <w:semiHidden/>
    <w:unhideWhenUsed/>
    <w:qFormat/>
    <w:rsid w:val="0004402C"/>
    <w:pPr>
      <w:keepNext/>
      <w:keepLines/>
      <w:spacing w:before="80" w:after="40"/>
      <w:outlineLvl w:val="4"/>
    </w:pPr>
    <w:rPr>
      <w:rFonts w:ascii="Times New Roman" w:eastAsiaTheme="majorEastAsia" w:hAnsi="Times New Roman" w:cstheme="majorBidi"/>
      <w:color w:val="365F91" w:themeColor="accent1" w:themeShade="BF"/>
      <w:sz w:val="24"/>
      <w:szCs w:val="24"/>
      <w:lang w:eastAsia="zh-CN"/>
    </w:rPr>
  </w:style>
  <w:style w:type="paragraph" w:styleId="Heading6">
    <w:name w:val="heading 6"/>
    <w:basedOn w:val="Normal"/>
    <w:next w:val="Normal"/>
    <w:link w:val="Heading6Char"/>
    <w:uiPriority w:val="9"/>
    <w:semiHidden/>
    <w:unhideWhenUsed/>
    <w:qFormat/>
    <w:rsid w:val="0004402C"/>
    <w:pPr>
      <w:keepNext/>
      <w:keepLines/>
      <w:spacing w:before="40"/>
      <w:outlineLvl w:val="5"/>
    </w:pPr>
    <w:rPr>
      <w:rFonts w:ascii="Times New Roman" w:eastAsiaTheme="majorEastAsia" w:hAnsi="Times New Roman" w:cstheme="majorBidi"/>
      <w:i/>
      <w:iCs/>
      <w:color w:val="595959" w:themeColor="text1" w:themeTint="A6"/>
      <w:sz w:val="24"/>
      <w:szCs w:val="24"/>
      <w:lang w:eastAsia="zh-CN"/>
    </w:rPr>
  </w:style>
  <w:style w:type="paragraph" w:styleId="Heading7">
    <w:name w:val="heading 7"/>
    <w:basedOn w:val="Normal"/>
    <w:next w:val="Normal"/>
    <w:link w:val="Heading7Char"/>
    <w:uiPriority w:val="9"/>
    <w:semiHidden/>
    <w:unhideWhenUsed/>
    <w:qFormat/>
    <w:rsid w:val="0004402C"/>
    <w:pPr>
      <w:keepNext/>
      <w:keepLines/>
      <w:spacing w:before="40"/>
      <w:outlineLvl w:val="6"/>
    </w:pPr>
    <w:rPr>
      <w:rFonts w:ascii="Times New Roman" w:eastAsiaTheme="majorEastAsia" w:hAnsi="Times New Roman" w:cstheme="majorBidi"/>
      <w:color w:val="595959" w:themeColor="text1" w:themeTint="A6"/>
      <w:sz w:val="24"/>
      <w:szCs w:val="24"/>
      <w:lang w:eastAsia="zh-CN"/>
    </w:rPr>
  </w:style>
  <w:style w:type="paragraph" w:styleId="Heading8">
    <w:name w:val="heading 8"/>
    <w:basedOn w:val="Normal"/>
    <w:next w:val="Normal"/>
    <w:link w:val="Heading8Char"/>
    <w:uiPriority w:val="9"/>
    <w:semiHidden/>
    <w:unhideWhenUsed/>
    <w:qFormat/>
    <w:rsid w:val="0004402C"/>
    <w:pPr>
      <w:keepNext/>
      <w:keepLines/>
      <w:outlineLvl w:val="7"/>
    </w:pPr>
    <w:rPr>
      <w:rFonts w:ascii="Times New Roman" w:eastAsiaTheme="majorEastAsia" w:hAnsi="Times New Roman" w:cstheme="majorBidi"/>
      <w:i/>
      <w:iCs/>
      <w:color w:val="272727" w:themeColor="text1" w:themeTint="D8"/>
      <w:sz w:val="24"/>
      <w:szCs w:val="24"/>
      <w:lang w:eastAsia="zh-CN"/>
    </w:rPr>
  </w:style>
  <w:style w:type="paragraph" w:styleId="Heading9">
    <w:name w:val="heading 9"/>
    <w:basedOn w:val="Normal"/>
    <w:next w:val="Normal"/>
    <w:link w:val="Heading9Char"/>
    <w:uiPriority w:val="9"/>
    <w:semiHidden/>
    <w:unhideWhenUsed/>
    <w:qFormat/>
    <w:rsid w:val="0004402C"/>
    <w:pPr>
      <w:keepNext/>
      <w:keepLines/>
      <w:outlineLvl w:val="8"/>
    </w:pPr>
    <w:rPr>
      <w:rFonts w:ascii="Times New Roman" w:eastAsiaTheme="majorEastAsia" w:hAnsi="Times New Roman" w:cstheme="majorBidi"/>
      <w:color w:val="272727" w:themeColor="text1" w:themeTint="D8"/>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font">
    <w:name w:val="_Journal font"/>
    <w:link w:val="JournalfontChar"/>
    <w:qFormat/>
    <w:rsid w:val="00457B07"/>
    <w:pPr>
      <w:widowControl w:val="0"/>
      <w:spacing w:line="250" w:lineRule="exact"/>
      <w:jc w:val="both"/>
    </w:pPr>
    <w:rPr>
      <w:rFonts w:ascii="Century Schoolbook" w:hAnsi="Century Schoolbook"/>
      <w:sz w:val="21"/>
    </w:rPr>
  </w:style>
  <w:style w:type="paragraph" w:customStyle="1" w:styleId="Document">
    <w:name w:val="_Document"/>
    <w:basedOn w:val="Journalfont"/>
    <w:qFormat/>
    <w:rsid w:val="000317D6"/>
    <w:pPr>
      <w:widowControl/>
      <w:suppressLineNumbers/>
      <w:tabs>
        <w:tab w:val="left" w:pos="0"/>
        <w:tab w:val="left" w:pos="360"/>
        <w:tab w:val="left" w:pos="620"/>
      </w:tabs>
      <w:ind w:firstLine="446"/>
    </w:pPr>
  </w:style>
  <w:style w:type="paragraph" w:styleId="Header">
    <w:name w:val="header"/>
    <w:basedOn w:val="Normal"/>
    <w:link w:val="HeaderChar"/>
    <w:uiPriority w:val="99"/>
    <w:rsid w:val="00C70A74"/>
    <w:pPr>
      <w:tabs>
        <w:tab w:val="center" w:pos="4320"/>
        <w:tab w:val="right" w:pos="8640"/>
      </w:tabs>
    </w:pPr>
    <w:rPr>
      <w:sz w:val="1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customStyle="1" w:styleId="FootNote">
    <w:name w:val="_FootNote"/>
    <w:basedOn w:val="Document"/>
    <w:qFormat/>
    <w:rsid w:val="00854EBE"/>
    <w:pPr>
      <w:tabs>
        <w:tab w:val="clear" w:pos="0"/>
        <w:tab w:val="clear" w:pos="360"/>
        <w:tab w:val="right" w:pos="540"/>
      </w:tabs>
      <w:spacing w:line="240" w:lineRule="auto"/>
      <w:ind w:firstLine="0"/>
    </w:pPr>
    <w:rPr>
      <w:sz w:val="16"/>
    </w:rPr>
  </w:style>
  <w:style w:type="paragraph" w:customStyle="1" w:styleId="FootNotePara">
    <w:name w:val="_FootNotePara"/>
    <w:basedOn w:val="FootNote"/>
    <w:qFormat/>
    <w:rsid w:val="00E41DDC"/>
    <w:pPr>
      <w:ind w:firstLine="360"/>
    </w:pPr>
  </w:style>
  <w:style w:type="character" w:customStyle="1" w:styleId="NoterefInText">
    <w:name w:val="_NoterefInText"/>
    <w:qFormat/>
    <w:rsid w:val="00B8007B"/>
    <w:rPr>
      <w:rFonts w:ascii="Century Schoolbook" w:hAnsi="Century Schoolbook"/>
      <w:spacing w:val="0"/>
      <w:w w:val="100"/>
      <w:position w:val="-2"/>
      <w:sz w:val="24"/>
      <w:vertAlign w:val="superscript"/>
    </w:rPr>
  </w:style>
  <w:style w:type="character" w:customStyle="1" w:styleId="NoterefInNote">
    <w:name w:val="_NoterefInNote"/>
    <w:basedOn w:val="DefaultParagraphFont"/>
    <w:qFormat/>
    <w:rsid w:val="00E8093F"/>
    <w:rPr>
      <w:rFonts w:ascii="Century Schoolbook" w:hAnsi="Century Schoolbook"/>
      <w:sz w:val="16"/>
      <w:vertAlign w:val="baseline"/>
    </w:rPr>
  </w:style>
  <w:style w:type="paragraph" w:customStyle="1" w:styleId="1StQuoteFN">
    <w:name w:val="_1StQuoteFN"/>
    <w:basedOn w:val="FootNote"/>
    <w:next w:val="FootNote"/>
    <w:qFormat/>
    <w:rsid w:val="00876C75"/>
    <w:pPr>
      <w:tabs>
        <w:tab w:val="clear" w:pos="620"/>
        <w:tab w:val="left" w:pos="340"/>
        <w:tab w:val="left" w:pos="640"/>
      </w:tabs>
      <w:ind w:left="360" w:right="360"/>
    </w:pPr>
  </w:style>
  <w:style w:type="paragraph" w:customStyle="1" w:styleId="2NdQuoteFN">
    <w:name w:val="_2NdQuoteFN"/>
    <w:basedOn w:val="FootNote"/>
    <w:next w:val="FootNote"/>
    <w:qFormat/>
    <w:rsid w:val="00876C75"/>
    <w:pPr>
      <w:tabs>
        <w:tab w:val="clear" w:pos="620"/>
        <w:tab w:val="left" w:pos="340"/>
        <w:tab w:val="left" w:pos="640"/>
      </w:tabs>
      <w:ind w:left="720" w:right="360"/>
    </w:pPr>
  </w:style>
  <w:style w:type="paragraph" w:customStyle="1" w:styleId="3RdQuoteFN">
    <w:name w:val="_3RdQuoteFN"/>
    <w:basedOn w:val="FootNote"/>
    <w:next w:val="FootNote"/>
    <w:qFormat/>
    <w:rsid w:val="00876C75"/>
    <w:pPr>
      <w:tabs>
        <w:tab w:val="clear" w:pos="620"/>
        <w:tab w:val="left" w:pos="340"/>
        <w:tab w:val="left" w:pos="640"/>
      </w:tabs>
      <w:ind w:left="1080" w:right="360"/>
    </w:pPr>
  </w:style>
  <w:style w:type="paragraph" w:customStyle="1" w:styleId="4ThQuoteFN">
    <w:name w:val="_4ThQuoteFN"/>
    <w:basedOn w:val="FootNote"/>
    <w:next w:val="FootNote"/>
    <w:qFormat/>
    <w:rsid w:val="00876C75"/>
    <w:pPr>
      <w:tabs>
        <w:tab w:val="clear" w:pos="620"/>
        <w:tab w:val="left" w:pos="340"/>
        <w:tab w:val="left" w:pos="640"/>
      </w:tabs>
      <w:ind w:left="1440" w:right="360"/>
    </w:pPr>
  </w:style>
  <w:style w:type="paragraph" w:customStyle="1" w:styleId="1StQuoteTXT">
    <w:name w:val="_1StQuoteTXT"/>
    <w:basedOn w:val="Document"/>
    <w:next w:val="Document"/>
    <w:qFormat/>
    <w:rsid w:val="000317D6"/>
    <w:pPr>
      <w:spacing w:before="260" w:after="260" w:line="240" w:lineRule="exact"/>
      <w:ind w:left="440" w:right="440" w:firstLine="0"/>
      <w:contextualSpacing/>
    </w:pPr>
    <w:rPr>
      <w:sz w:val="20"/>
    </w:rPr>
  </w:style>
  <w:style w:type="paragraph" w:customStyle="1" w:styleId="2NdQuoteTXT">
    <w:name w:val="_2NdQuoteTXT"/>
    <w:basedOn w:val="Document"/>
    <w:next w:val="Document"/>
    <w:qFormat/>
    <w:rsid w:val="00DD28C1"/>
    <w:pPr>
      <w:spacing w:after="260"/>
      <w:ind w:left="880" w:right="440" w:firstLine="0"/>
      <w:contextualSpacing/>
    </w:pPr>
    <w:rPr>
      <w:sz w:val="20"/>
    </w:rPr>
  </w:style>
  <w:style w:type="paragraph" w:customStyle="1" w:styleId="3RdQuoteTXT">
    <w:name w:val="_3RdQuoteTXT"/>
    <w:basedOn w:val="Document"/>
    <w:next w:val="Document"/>
    <w:qFormat/>
    <w:rsid w:val="00DD28C1"/>
    <w:pPr>
      <w:spacing w:after="260"/>
      <w:ind w:left="1320" w:right="440" w:firstLine="0"/>
      <w:contextualSpacing/>
    </w:pPr>
    <w:rPr>
      <w:sz w:val="20"/>
    </w:rPr>
  </w:style>
  <w:style w:type="paragraph" w:customStyle="1" w:styleId="4ThQuoteTXT">
    <w:name w:val="_4ThQuoteTXT"/>
    <w:basedOn w:val="Document"/>
    <w:next w:val="Document"/>
    <w:qFormat/>
    <w:rsid w:val="00DD28C1"/>
    <w:pPr>
      <w:spacing w:after="260"/>
      <w:ind w:left="1760" w:right="440" w:firstLine="0"/>
      <w:contextualSpacing/>
    </w:pPr>
    <w:rPr>
      <w:sz w:val="20"/>
    </w:rPr>
  </w:style>
  <w:style w:type="character" w:styleId="Hyperlink">
    <w:name w:val="Hyperlink"/>
    <w:basedOn w:val="DefaultParagraphFont"/>
    <w:uiPriority w:val="99"/>
    <w:unhideWhenUsed/>
    <w:rsid w:val="000C447F"/>
    <w:rPr>
      <w:rFonts w:ascii="Palatino Linotype" w:hAnsi="Palatino Linotype"/>
      <w:color w:val="auto"/>
      <w:u w:val="none"/>
    </w:rPr>
  </w:style>
  <w:style w:type="paragraph" w:customStyle="1" w:styleId="Toc1">
    <w:name w:val="_Toc1"/>
    <w:basedOn w:val="Document"/>
    <w:next w:val="Document"/>
    <w:qFormat/>
    <w:rsid w:val="00535981"/>
    <w:pPr>
      <w:tabs>
        <w:tab w:val="clear" w:pos="0"/>
        <w:tab w:val="clear" w:pos="360"/>
        <w:tab w:val="clear" w:pos="620"/>
        <w:tab w:val="right" w:pos="480"/>
        <w:tab w:val="left" w:pos="600"/>
        <w:tab w:val="right" w:leader="dot" w:pos="6480"/>
      </w:tabs>
      <w:ind w:left="600" w:hanging="600"/>
      <w:jc w:val="left"/>
    </w:pPr>
    <w:rPr>
      <w:smallCaps/>
    </w:rPr>
  </w:style>
  <w:style w:type="paragraph" w:customStyle="1" w:styleId="Toc2">
    <w:name w:val="_Toc2"/>
    <w:basedOn w:val="Document"/>
    <w:next w:val="Document"/>
    <w:rsid w:val="005F5539"/>
    <w:pPr>
      <w:tabs>
        <w:tab w:val="clear" w:pos="0"/>
        <w:tab w:val="clear" w:pos="360"/>
        <w:tab w:val="clear" w:pos="620"/>
        <w:tab w:val="left" w:pos="400"/>
        <w:tab w:val="right" w:leader="dot" w:pos="6480"/>
      </w:tabs>
      <w:suppressAutoHyphens/>
      <w:ind w:left="1000" w:hanging="400"/>
      <w:jc w:val="left"/>
    </w:pPr>
    <w:rPr>
      <w:i/>
    </w:rPr>
  </w:style>
  <w:style w:type="paragraph" w:customStyle="1" w:styleId="Toc3">
    <w:name w:val="_Toc3"/>
    <w:basedOn w:val="Document"/>
    <w:next w:val="Document"/>
    <w:qFormat/>
    <w:rsid w:val="005F5539"/>
    <w:pPr>
      <w:tabs>
        <w:tab w:val="clear" w:pos="0"/>
        <w:tab w:val="clear" w:pos="360"/>
        <w:tab w:val="clear" w:pos="620"/>
        <w:tab w:val="left" w:pos="320"/>
        <w:tab w:val="right" w:leader="dot" w:pos="6480"/>
      </w:tabs>
      <w:ind w:left="1320" w:hanging="320"/>
      <w:jc w:val="left"/>
    </w:pPr>
  </w:style>
  <w:style w:type="paragraph" w:customStyle="1" w:styleId="Toc4">
    <w:name w:val="_Toc4"/>
    <w:basedOn w:val="Document"/>
    <w:next w:val="Document"/>
    <w:qFormat/>
    <w:rsid w:val="00FC4E4E"/>
    <w:pPr>
      <w:tabs>
        <w:tab w:val="clear" w:pos="0"/>
        <w:tab w:val="clear" w:pos="620"/>
        <w:tab w:val="right" w:leader="dot" w:pos="6480"/>
      </w:tabs>
      <w:suppressAutoHyphens/>
      <w:ind w:left="1680" w:hanging="360"/>
      <w:jc w:val="left"/>
    </w:pPr>
  </w:style>
  <w:style w:type="paragraph" w:customStyle="1" w:styleId="Toc5">
    <w:name w:val="_Toc5"/>
    <w:basedOn w:val="Document"/>
    <w:next w:val="Document"/>
    <w:qFormat/>
    <w:rsid w:val="00FC4E4E"/>
    <w:pPr>
      <w:tabs>
        <w:tab w:val="clear" w:pos="0"/>
        <w:tab w:val="clear" w:pos="620"/>
        <w:tab w:val="right" w:pos="360"/>
        <w:tab w:val="right" w:leader="dot" w:pos="6480"/>
      </w:tabs>
      <w:ind w:left="2040" w:hanging="360"/>
      <w:jc w:val="left"/>
    </w:pPr>
  </w:style>
  <w:style w:type="paragraph" w:customStyle="1" w:styleId="SectionHead">
    <w:name w:val="_SectionHead"/>
    <w:basedOn w:val="Journalfont"/>
    <w:next w:val="Document"/>
    <w:qFormat/>
    <w:rsid w:val="00634FAD"/>
    <w:pPr>
      <w:keepNext/>
      <w:suppressLineNumbers/>
      <w:suppressAutoHyphens/>
      <w:spacing w:after="1320" w:line="340" w:lineRule="exact"/>
      <w:jc w:val="center"/>
    </w:pPr>
    <w:rPr>
      <w:b/>
      <w:caps/>
      <w:sz w:val="30"/>
    </w:rPr>
  </w:style>
  <w:style w:type="paragraph" w:customStyle="1" w:styleId="Head1-Articles">
    <w:name w:val="_Head1-Articles"/>
    <w:basedOn w:val="Journalfont"/>
    <w:next w:val="Document"/>
    <w:qFormat/>
    <w:rsid w:val="00C15548"/>
    <w:pPr>
      <w:keepNext/>
      <w:suppressLineNumbers/>
      <w:suppressAutoHyphens/>
      <w:spacing w:after="120" w:line="340" w:lineRule="exact"/>
      <w:jc w:val="center"/>
    </w:pPr>
    <w:rPr>
      <w:b/>
      <w:caps/>
      <w:sz w:val="30"/>
    </w:rPr>
  </w:style>
  <w:style w:type="paragraph" w:customStyle="1" w:styleId="AuthorName1-Articles">
    <w:name w:val="_AuthorName1-Articles"/>
    <w:basedOn w:val="Journalfont"/>
    <w:next w:val="Document"/>
    <w:qFormat/>
    <w:rsid w:val="00876C75"/>
    <w:pPr>
      <w:keepNext/>
      <w:suppressLineNumbers/>
      <w:suppressAutoHyphens/>
      <w:spacing w:before="40" w:after="320" w:line="240" w:lineRule="auto"/>
      <w:jc w:val="center"/>
    </w:pPr>
    <w:rPr>
      <w:smallCaps/>
    </w:rPr>
  </w:style>
  <w:style w:type="paragraph" w:customStyle="1" w:styleId="SubHead1">
    <w:name w:val="_SubHead1"/>
    <w:basedOn w:val="Journalfont"/>
    <w:next w:val="Document"/>
    <w:qFormat/>
    <w:rsid w:val="00C11D2F"/>
    <w:pPr>
      <w:keepNext/>
      <w:widowControl/>
      <w:suppressLineNumbers/>
      <w:tabs>
        <w:tab w:val="left" w:pos="440"/>
      </w:tabs>
      <w:suppressAutoHyphens/>
      <w:spacing w:before="260" w:after="120" w:line="240" w:lineRule="auto"/>
      <w:ind w:left="440" w:hanging="440"/>
      <w:jc w:val="left"/>
    </w:pPr>
    <w:rPr>
      <w:smallCaps/>
    </w:rPr>
  </w:style>
  <w:style w:type="paragraph" w:customStyle="1" w:styleId="END">
    <w:name w:val="_END"/>
    <w:basedOn w:val="Journalfont"/>
    <w:next w:val="Document"/>
    <w:pPr>
      <w:keepNext/>
      <w:suppressLineNumbers/>
      <w:suppressAutoHyphens/>
      <w:spacing w:line="0" w:lineRule="atLeast"/>
      <w:jc w:val="left"/>
    </w:pPr>
  </w:style>
  <w:style w:type="paragraph" w:customStyle="1" w:styleId="1stLineQuoteFn-1Num">
    <w:name w:val="_1stLineQuoteFn-1Num"/>
    <w:basedOn w:val="FootNote"/>
    <w:qFormat/>
    <w:rsid w:val="0061269B"/>
    <w:pPr>
      <w:tabs>
        <w:tab w:val="clear" w:pos="540"/>
        <w:tab w:val="left" w:pos="440"/>
      </w:tabs>
      <w:ind w:left="480" w:right="480" w:hanging="480"/>
    </w:pPr>
  </w:style>
  <w:style w:type="paragraph" w:customStyle="1" w:styleId="1stLineQuoteFn-2Num">
    <w:name w:val="_1stLineQuoteFn-2Num"/>
    <w:basedOn w:val="FootNote"/>
    <w:qFormat/>
    <w:rsid w:val="0061269B"/>
    <w:pPr>
      <w:tabs>
        <w:tab w:val="clear" w:pos="540"/>
        <w:tab w:val="left" w:pos="320"/>
      </w:tabs>
      <w:ind w:left="460" w:right="460" w:hanging="460"/>
    </w:pPr>
  </w:style>
  <w:style w:type="paragraph" w:customStyle="1" w:styleId="1stLineQuoteFn-3Num">
    <w:name w:val="_1stLineQuoteFn-3Num"/>
    <w:basedOn w:val="1stLineQuoteFn-2Num"/>
    <w:qFormat/>
    <w:rsid w:val="0061269B"/>
    <w:pPr>
      <w:tabs>
        <w:tab w:val="clear" w:pos="320"/>
        <w:tab w:val="left" w:pos="240"/>
      </w:tabs>
    </w:pPr>
  </w:style>
  <w:style w:type="character" w:customStyle="1" w:styleId="EquationCaption">
    <w:name w:val="_Equation Caption"/>
    <w:rPr>
      <w:rFonts w:ascii="Palatino Linotype" w:hAnsi="Palatino Linotype"/>
    </w:rPr>
  </w:style>
  <w:style w:type="paragraph" w:customStyle="1" w:styleId="AuthorName2-Students">
    <w:name w:val="_AuthorName2-Students"/>
    <w:basedOn w:val="Normal"/>
    <w:qFormat/>
    <w:rsid w:val="00711FFD"/>
    <w:pPr>
      <w:keepNext/>
      <w:widowControl w:val="0"/>
      <w:suppressLineNumbers/>
      <w:suppressAutoHyphens/>
      <w:spacing w:before="80" w:after="320"/>
      <w:jc w:val="right"/>
    </w:pPr>
    <w:rPr>
      <w:noProof/>
    </w:rPr>
  </w:style>
  <w:style w:type="paragraph" w:styleId="TOC10">
    <w:name w:val="toc 1"/>
    <w:basedOn w:val="Toc1"/>
    <w:next w:val="Journalfont"/>
    <w:autoRedefine/>
    <w:uiPriority w:val="39"/>
    <w:rsid w:val="00C83FEB"/>
    <w:pPr>
      <w:ind w:left="605" w:hanging="605"/>
    </w:pPr>
  </w:style>
  <w:style w:type="paragraph" w:styleId="TOC20">
    <w:name w:val="toc 2"/>
    <w:basedOn w:val="Toc2"/>
    <w:next w:val="Journalfont"/>
    <w:autoRedefine/>
    <w:uiPriority w:val="39"/>
    <w:rsid w:val="00D0141E"/>
    <w:pPr>
      <w:tabs>
        <w:tab w:val="left" w:pos="1320"/>
      </w:tabs>
    </w:pPr>
    <w:rPr>
      <w:rFonts w:eastAsia="Palatino Linotype"/>
      <w:noProof/>
    </w:rPr>
  </w:style>
  <w:style w:type="paragraph" w:styleId="TOC30">
    <w:name w:val="toc 3"/>
    <w:basedOn w:val="Toc3"/>
    <w:next w:val="Journalfont"/>
    <w:autoRedefine/>
    <w:uiPriority w:val="39"/>
    <w:rsid w:val="001E13ED"/>
    <w:pPr>
      <w:tabs>
        <w:tab w:val="left" w:pos="1680"/>
      </w:tabs>
    </w:pPr>
  </w:style>
  <w:style w:type="paragraph" w:styleId="TOC40">
    <w:name w:val="toc 4"/>
    <w:basedOn w:val="Toc4"/>
    <w:next w:val="Journalfont"/>
    <w:autoRedefine/>
    <w:uiPriority w:val="39"/>
    <w:rsid w:val="003003FA"/>
    <w:pPr>
      <w:tabs>
        <w:tab w:val="left" w:pos="800"/>
      </w:tabs>
    </w:pPr>
    <w:rPr>
      <w:i/>
    </w:rPr>
  </w:style>
  <w:style w:type="paragraph" w:styleId="TOC50">
    <w:name w:val="toc 5"/>
    <w:basedOn w:val="Toc5"/>
    <w:next w:val="Journalfont"/>
    <w:autoRedefine/>
    <w:uiPriority w:val="39"/>
    <w:rsid w:val="00071C10"/>
    <w:pPr>
      <w:tabs>
        <w:tab w:val="left" w:pos="800"/>
        <w:tab w:val="left" w:pos="2040"/>
      </w:tabs>
    </w:pPr>
  </w:style>
  <w:style w:type="paragraph" w:styleId="TOC6">
    <w:name w:val="toc 6"/>
    <w:basedOn w:val="Normal"/>
    <w:next w:val="Normal"/>
    <w:autoRedefine/>
    <w:semiHidden/>
    <w:pPr>
      <w:ind w:left="1000"/>
    </w:pPr>
  </w:style>
  <w:style w:type="paragraph" w:styleId="FootnoteText">
    <w:name w:val="footnote text"/>
    <w:basedOn w:val="Normal"/>
    <w:link w:val="FootnoteTextChar"/>
    <w:uiPriority w:val="99"/>
    <w:semiHidden/>
    <w:rsid w:val="00824BB3"/>
    <w:pPr>
      <w:ind w:firstLine="520"/>
    </w:pPr>
    <w:rPr>
      <w:rFonts w:ascii="Courier" w:hAnsi="Courier"/>
      <w:sz w:val="24"/>
    </w:rPr>
  </w:style>
  <w:style w:type="character" w:styleId="FootnoteReference">
    <w:name w:val="footnote reference"/>
    <w:basedOn w:val="DefaultParagraphFont"/>
    <w:uiPriority w:val="99"/>
    <w:semiHidden/>
    <w:rsid w:val="00824BB3"/>
    <w:rPr>
      <w:vertAlign w:val="superscript"/>
    </w:rPr>
  </w:style>
  <w:style w:type="paragraph" w:styleId="BalloonText">
    <w:name w:val="Balloon Text"/>
    <w:basedOn w:val="Normal"/>
    <w:link w:val="BalloonTextChar"/>
    <w:rsid w:val="002C3752"/>
    <w:rPr>
      <w:rFonts w:ascii="Tahoma" w:hAnsi="Tahoma" w:cs="Tahoma"/>
      <w:sz w:val="16"/>
      <w:szCs w:val="16"/>
    </w:rPr>
  </w:style>
  <w:style w:type="character" w:customStyle="1" w:styleId="BalloonTextChar">
    <w:name w:val="Balloon Text Char"/>
    <w:basedOn w:val="DefaultParagraphFont"/>
    <w:link w:val="BalloonText"/>
    <w:rsid w:val="002C3752"/>
    <w:rPr>
      <w:rFonts w:ascii="Tahoma" w:hAnsi="Tahoma" w:cs="Tahoma"/>
      <w:sz w:val="16"/>
      <w:szCs w:val="16"/>
    </w:rPr>
  </w:style>
  <w:style w:type="paragraph" w:customStyle="1" w:styleId="header0">
    <w:name w:val="_header"/>
    <w:basedOn w:val="Header"/>
    <w:qFormat/>
    <w:rsid w:val="00711FFD"/>
    <w:pPr>
      <w:pBdr>
        <w:top w:val="single" w:sz="6" w:space="1" w:color="auto"/>
        <w:bottom w:val="single" w:sz="6" w:space="1" w:color="auto"/>
      </w:pBdr>
      <w:tabs>
        <w:tab w:val="clear" w:pos="4320"/>
        <w:tab w:val="clear" w:pos="8640"/>
        <w:tab w:val="right" w:pos="6480"/>
      </w:tabs>
    </w:pPr>
    <w:rPr>
      <w:smallCaps/>
    </w:rPr>
  </w:style>
  <w:style w:type="paragraph" w:customStyle="1" w:styleId="Head2-Notes">
    <w:name w:val="_Head2-Notes"/>
    <w:aliases w:val="Comments"/>
    <w:basedOn w:val="Head1-Articles"/>
    <w:qFormat/>
    <w:rsid w:val="00E247B1"/>
    <w:rPr>
      <w:i/>
      <w:caps w:val="0"/>
      <w:smallCaps/>
    </w:rPr>
  </w:style>
  <w:style w:type="paragraph" w:customStyle="1" w:styleId="TocPage">
    <w:name w:val="_TocPage"/>
    <w:basedOn w:val="Journalfont"/>
    <w:link w:val="TocPageChar"/>
    <w:qFormat/>
    <w:rsid w:val="00156483"/>
  </w:style>
  <w:style w:type="character" w:customStyle="1" w:styleId="JournalfontChar">
    <w:name w:val="_Journal font Char"/>
    <w:basedOn w:val="DefaultParagraphFont"/>
    <w:link w:val="Journalfont"/>
    <w:rsid w:val="00457B07"/>
    <w:rPr>
      <w:rFonts w:ascii="Century Schoolbook" w:hAnsi="Century Schoolbook"/>
      <w:sz w:val="21"/>
    </w:rPr>
  </w:style>
  <w:style w:type="character" w:customStyle="1" w:styleId="TocPageChar">
    <w:name w:val="_TocPage Char"/>
    <w:basedOn w:val="JournalfontChar"/>
    <w:link w:val="TocPage"/>
    <w:rsid w:val="00156483"/>
    <w:rPr>
      <w:rFonts w:ascii="Century Schoolbook" w:hAnsi="Century Schoolbook"/>
      <w:sz w:val="22"/>
    </w:rPr>
  </w:style>
  <w:style w:type="paragraph" w:customStyle="1" w:styleId="SubHead2">
    <w:name w:val="_SubHead2"/>
    <w:basedOn w:val="Journalfont"/>
    <w:next w:val="Document"/>
    <w:qFormat/>
    <w:rsid w:val="008039D3"/>
    <w:pPr>
      <w:keepNext/>
      <w:widowControl/>
      <w:suppressLineNumbers/>
      <w:tabs>
        <w:tab w:val="left" w:pos="360"/>
      </w:tabs>
      <w:suppressAutoHyphens/>
      <w:spacing w:before="260" w:after="120" w:line="240" w:lineRule="auto"/>
      <w:ind w:left="720" w:hanging="360"/>
      <w:jc w:val="left"/>
    </w:pPr>
    <w:rPr>
      <w:i/>
    </w:rPr>
  </w:style>
  <w:style w:type="paragraph" w:customStyle="1" w:styleId="SubHead3">
    <w:name w:val="_SubHead3"/>
    <w:basedOn w:val="Journalfont"/>
    <w:next w:val="Document"/>
    <w:qFormat/>
    <w:rsid w:val="004B1E2E"/>
    <w:pPr>
      <w:keepNext/>
      <w:widowControl/>
      <w:suppressLineNumbers/>
      <w:tabs>
        <w:tab w:val="left" w:pos="360"/>
      </w:tabs>
      <w:suppressAutoHyphens/>
      <w:spacing w:before="260" w:after="120" w:line="240" w:lineRule="auto"/>
      <w:ind w:left="1080" w:hanging="360"/>
      <w:jc w:val="left"/>
    </w:pPr>
  </w:style>
  <w:style w:type="paragraph" w:customStyle="1" w:styleId="SubHead4">
    <w:name w:val="_SubHead4"/>
    <w:basedOn w:val="Journalfont"/>
    <w:next w:val="Document"/>
    <w:qFormat/>
    <w:rsid w:val="006F2A0A"/>
    <w:pPr>
      <w:keepNext/>
      <w:suppressLineNumbers/>
      <w:tabs>
        <w:tab w:val="left" w:pos="360"/>
      </w:tabs>
      <w:suppressAutoHyphens/>
      <w:spacing w:before="260" w:after="120" w:line="240" w:lineRule="auto"/>
      <w:ind w:left="1480" w:hanging="360"/>
      <w:jc w:val="left"/>
    </w:pPr>
  </w:style>
  <w:style w:type="paragraph" w:customStyle="1" w:styleId="SubHead5">
    <w:name w:val="_SubHead5"/>
    <w:basedOn w:val="SubHead3"/>
    <w:qFormat/>
    <w:rsid w:val="006F2A0A"/>
    <w:pPr>
      <w:ind w:left="1800"/>
    </w:pPr>
  </w:style>
  <w:style w:type="paragraph" w:customStyle="1" w:styleId="Document-NoPara">
    <w:name w:val="_Document-NoPara"/>
    <w:basedOn w:val="Document"/>
    <w:qFormat/>
    <w:rsid w:val="00D15EBF"/>
    <w:pPr>
      <w:ind w:firstLine="0"/>
    </w:pPr>
    <w:rPr>
      <w:spacing w:val="-3"/>
    </w:rPr>
  </w:style>
  <w:style w:type="paragraph" w:customStyle="1" w:styleId="BulletListTXT">
    <w:name w:val="_BulletListTXT"/>
    <w:basedOn w:val="1StQuoteTXT"/>
    <w:qFormat/>
    <w:rsid w:val="00690F49"/>
    <w:pPr>
      <w:numPr>
        <w:numId w:val="2"/>
      </w:numPr>
      <w:spacing w:line="260" w:lineRule="exact"/>
    </w:pPr>
  </w:style>
  <w:style w:type="paragraph" w:customStyle="1" w:styleId="BulletListFN">
    <w:name w:val="_BulletListFN"/>
    <w:basedOn w:val="1StQuoteFN"/>
    <w:qFormat/>
    <w:rsid w:val="00876C75"/>
    <w:pPr>
      <w:numPr>
        <w:numId w:val="1"/>
      </w:numPr>
      <w:tabs>
        <w:tab w:val="clear" w:pos="340"/>
        <w:tab w:val="clear" w:pos="540"/>
        <w:tab w:val="clear" w:pos="640"/>
        <w:tab w:val="left" w:pos="360"/>
      </w:tabs>
      <w:ind w:left="720"/>
    </w:pPr>
  </w:style>
  <w:style w:type="character" w:customStyle="1" w:styleId="FootnoteTextChar">
    <w:name w:val="Footnote Text Char"/>
    <w:basedOn w:val="DefaultParagraphFont"/>
    <w:link w:val="FootnoteText"/>
    <w:uiPriority w:val="99"/>
    <w:semiHidden/>
    <w:rsid w:val="00784A54"/>
    <w:rPr>
      <w:rFonts w:ascii="Courier" w:hAnsi="Courier"/>
      <w:sz w:val="24"/>
    </w:rPr>
  </w:style>
  <w:style w:type="paragraph" w:customStyle="1" w:styleId="Abstract">
    <w:name w:val="_Abstract"/>
    <w:basedOn w:val="Document"/>
    <w:qFormat/>
    <w:rsid w:val="00840B68"/>
    <w:pPr>
      <w:spacing w:after="240"/>
    </w:pPr>
    <w:rPr>
      <w:i/>
      <w:noProof/>
    </w:rPr>
  </w:style>
  <w:style w:type="character" w:customStyle="1" w:styleId="Heading1Char">
    <w:name w:val="Heading 1 Char"/>
    <w:basedOn w:val="DefaultParagraphFont"/>
    <w:link w:val="Heading1"/>
    <w:uiPriority w:val="9"/>
    <w:rsid w:val="0004402C"/>
    <w:rPr>
      <w:rFonts w:eastAsiaTheme="majorEastAsia" w:cstheme="majorBidi"/>
      <w:color w:val="365F91" w:themeColor="accent1" w:themeShade="BF"/>
      <w:sz w:val="24"/>
      <w:szCs w:val="40"/>
      <w:lang w:eastAsia="zh-CN"/>
    </w:rPr>
  </w:style>
  <w:style w:type="character" w:customStyle="1" w:styleId="Heading2Char">
    <w:name w:val="Heading 2 Char"/>
    <w:basedOn w:val="DefaultParagraphFont"/>
    <w:link w:val="Heading2"/>
    <w:uiPriority w:val="9"/>
    <w:rsid w:val="0004402C"/>
    <w:rPr>
      <w:rFonts w:eastAsiaTheme="majorEastAsia" w:cstheme="majorBidi"/>
      <w:color w:val="365F91" w:themeColor="accent1" w:themeShade="BF"/>
      <w:sz w:val="24"/>
      <w:szCs w:val="32"/>
      <w:lang w:eastAsia="zh-CN"/>
    </w:rPr>
  </w:style>
  <w:style w:type="character" w:customStyle="1" w:styleId="Heading3Char">
    <w:name w:val="Heading 3 Char"/>
    <w:basedOn w:val="DefaultParagraphFont"/>
    <w:link w:val="Heading3"/>
    <w:uiPriority w:val="9"/>
    <w:rsid w:val="0004402C"/>
    <w:rPr>
      <w:rFonts w:eastAsiaTheme="minorEastAsia" w:cstheme="minorBidi"/>
      <w:sz w:val="24"/>
      <w:szCs w:val="24"/>
      <w:lang w:eastAsia="zh-CN"/>
    </w:rPr>
  </w:style>
  <w:style w:type="character" w:customStyle="1" w:styleId="Heading4Char">
    <w:name w:val="Heading 4 Char"/>
    <w:basedOn w:val="DefaultParagraphFont"/>
    <w:link w:val="Heading4"/>
    <w:uiPriority w:val="9"/>
    <w:rsid w:val="0004402C"/>
    <w:rPr>
      <w:rFonts w:eastAsiaTheme="minorEastAsia" w:cstheme="minorBidi"/>
      <w:sz w:val="24"/>
      <w:szCs w:val="24"/>
      <w:lang w:eastAsia="zh-CN"/>
    </w:rPr>
  </w:style>
  <w:style w:type="character" w:customStyle="1" w:styleId="Heading5Char">
    <w:name w:val="Heading 5 Char"/>
    <w:basedOn w:val="DefaultParagraphFont"/>
    <w:link w:val="Heading5"/>
    <w:uiPriority w:val="9"/>
    <w:semiHidden/>
    <w:rsid w:val="0004402C"/>
    <w:rPr>
      <w:rFonts w:eastAsiaTheme="majorEastAsia" w:cstheme="majorBidi"/>
      <w:color w:val="365F91" w:themeColor="accent1" w:themeShade="BF"/>
      <w:sz w:val="24"/>
      <w:szCs w:val="24"/>
      <w:lang w:eastAsia="zh-CN"/>
    </w:rPr>
  </w:style>
  <w:style w:type="character" w:customStyle="1" w:styleId="Heading6Char">
    <w:name w:val="Heading 6 Char"/>
    <w:basedOn w:val="DefaultParagraphFont"/>
    <w:link w:val="Heading6"/>
    <w:uiPriority w:val="9"/>
    <w:semiHidden/>
    <w:rsid w:val="0004402C"/>
    <w:rPr>
      <w:rFonts w:eastAsiaTheme="majorEastAsia" w:cstheme="majorBidi"/>
      <w:i/>
      <w:iCs/>
      <w:color w:val="595959" w:themeColor="text1" w:themeTint="A6"/>
      <w:sz w:val="24"/>
      <w:szCs w:val="24"/>
      <w:lang w:eastAsia="zh-CN"/>
    </w:rPr>
  </w:style>
  <w:style w:type="character" w:customStyle="1" w:styleId="Heading7Char">
    <w:name w:val="Heading 7 Char"/>
    <w:basedOn w:val="DefaultParagraphFont"/>
    <w:link w:val="Heading7"/>
    <w:uiPriority w:val="9"/>
    <w:semiHidden/>
    <w:rsid w:val="0004402C"/>
    <w:rPr>
      <w:rFonts w:eastAsiaTheme="majorEastAsia" w:cstheme="majorBidi"/>
      <w:color w:val="595959" w:themeColor="text1" w:themeTint="A6"/>
      <w:sz w:val="24"/>
      <w:szCs w:val="24"/>
      <w:lang w:eastAsia="zh-CN"/>
    </w:rPr>
  </w:style>
  <w:style w:type="character" w:customStyle="1" w:styleId="Heading8Char">
    <w:name w:val="Heading 8 Char"/>
    <w:basedOn w:val="DefaultParagraphFont"/>
    <w:link w:val="Heading8"/>
    <w:uiPriority w:val="9"/>
    <w:semiHidden/>
    <w:rsid w:val="0004402C"/>
    <w:rPr>
      <w:rFonts w:eastAsiaTheme="majorEastAsia" w:cstheme="majorBidi"/>
      <w:i/>
      <w:iCs/>
      <w:color w:val="272727" w:themeColor="text1" w:themeTint="D8"/>
      <w:sz w:val="24"/>
      <w:szCs w:val="24"/>
      <w:lang w:eastAsia="zh-CN"/>
    </w:rPr>
  </w:style>
  <w:style w:type="character" w:customStyle="1" w:styleId="Heading9Char">
    <w:name w:val="Heading 9 Char"/>
    <w:basedOn w:val="DefaultParagraphFont"/>
    <w:link w:val="Heading9"/>
    <w:uiPriority w:val="9"/>
    <w:semiHidden/>
    <w:rsid w:val="0004402C"/>
    <w:rPr>
      <w:rFonts w:eastAsiaTheme="majorEastAsia" w:cstheme="majorBidi"/>
      <w:color w:val="272727" w:themeColor="text1" w:themeTint="D8"/>
      <w:sz w:val="24"/>
      <w:szCs w:val="24"/>
      <w:lang w:eastAsia="zh-CN"/>
    </w:rPr>
  </w:style>
  <w:style w:type="paragraph" w:styleId="Title">
    <w:name w:val="Title"/>
    <w:basedOn w:val="Normal"/>
    <w:next w:val="Normal"/>
    <w:link w:val="TitleChar"/>
    <w:uiPriority w:val="10"/>
    <w:qFormat/>
    <w:rsid w:val="0004402C"/>
    <w:pPr>
      <w:spacing w:after="8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04402C"/>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04402C"/>
    <w:pPr>
      <w:numPr>
        <w:ilvl w:val="1"/>
      </w:numPr>
    </w:pPr>
    <w:rPr>
      <w:rFonts w:ascii="Times New Roman" w:eastAsiaTheme="majorEastAsia" w:hAnsi="Times New Roman" w:cstheme="majorBidi"/>
      <w:color w:val="595959" w:themeColor="text1" w:themeTint="A6"/>
      <w:spacing w:val="15"/>
      <w:sz w:val="28"/>
      <w:szCs w:val="28"/>
      <w:lang w:eastAsia="zh-CN"/>
    </w:rPr>
  </w:style>
  <w:style w:type="character" w:customStyle="1" w:styleId="SubtitleChar">
    <w:name w:val="Subtitle Char"/>
    <w:basedOn w:val="DefaultParagraphFont"/>
    <w:link w:val="Subtitle"/>
    <w:uiPriority w:val="11"/>
    <w:rsid w:val="0004402C"/>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04402C"/>
    <w:pPr>
      <w:spacing w:before="160"/>
      <w:jc w:val="center"/>
    </w:pPr>
    <w:rPr>
      <w:rFonts w:ascii="Times New Roman" w:eastAsiaTheme="minorEastAsia" w:hAnsi="Times New Roman" w:cstheme="minorBidi"/>
      <w:i/>
      <w:iCs/>
      <w:color w:val="404040" w:themeColor="text1" w:themeTint="BF"/>
      <w:sz w:val="24"/>
      <w:szCs w:val="24"/>
      <w:lang w:eastAsia="zh-CN"/>
    </w:rPr>
  </w:style>
  <w:style w:type="character" w:customStyle="1" w:styleId="QuoteChar">
    <w:name w:val="Quote Char"/>
    <w:basedOn w:val="DefaultParagraphFont"/>
    <w:link w:val="Quote"/>
    <w:uiPriority w:val="29"/>
    <w:rsid w:val="0004402C"/>
    <w:rPr>
      <w:rFonts w:eastAsiaTheme="minorEastAsia" w:cstheme="minorBidi"/>
      <w:i/>
      <w:iCs/>
      <w:color w:val="404040" w:themeColor="text1" w:themeTint="BF"/>
      <w:sz w:val="24"/>
      <w:szCs w:val="24"/>
      <w:lang w:eastAsia="zh-CN"/>
    </w:rPr>
  </w:style>
  <w:style w:type="paragraph" w:styleId="ListParagraph">
    <w:name w:val="List Paragraph"/>
    <w:basedOn w:val="Normal"/>
    <w:uiPriority w:val="34"/>
    <w:qFormat/>
    <w:rsid w:val="0004402C"/>
    <w:pPr>
      <w:ind w:left="720"/>
      <w:contextualSpacing/>
    </w:pPr>
    <w:rPr>
      <w:rFonts w:ascii="Times New Roman" w:eastAsiaTheme="minorEastAsia" w:hAnsi="Times New Roman" w:cstheme="minorBidi"/>
      <w:sz w:val="24"/>
      <w:szCs w:val="24"/>
      <w:lang w:eastAsia="zh-CN"/>
    </w:rPr>
  </w:style>
  <w:style w:type="character" w:styleId="IntenseEmphasis">
    <w:name w:val="Intense Emphasis"/>
    <w:basedOn w:val="DefaultParagraphFont"/>
    <w:uiPriority w:val="21"/>
    <w:qFormat/>
    <w:rsid w:val="0004402C"/>
    <w:rPr>
      <w:i/>
      <w:iCs/>
      <w:color w:val="365F91" w:themeColor="accent1" w:themeShade="BF"/>
    </w:rPr>
  </w:style>
  <w:style w:type="paragraph" w:styleId="IntenseQuote">
    <w:name w:val="Intense Quote"/>
    <w:basedOn w:val="Normal"/>
    <w:next w:val="Normal"/>
    <w:link w:val="IntenseQuoteChar"/>
    <w:uiPriority w:val="30"/>
    <w:qFormat/>
    <w:rsid w:val="0004402C"/>
    <w:pPr>
      <w:pBdr>
        <w:top w:val="single" w:sz="4" w:space="10" w:color="365F91" w:themeColor="accent1" w:themeShade="BF"/>
        <w:bottom w:val="single" w:sz="4" w:space="10" w:color="365F91" w:themeColor="accent1" w:themeShade="BF"/>
      </w:pBdr>
      <w:spacing w:before="360" w:after="360"/>
      <w:ind w:left="864" w:right="864"/>
      <w:jc w:val="center"/>
    </w:pPr>
    <w:rPr>
      <w:rFonts w:ascii="Times New Roman" w:eastAsiaTheme="minorEastAsia" w:hAnsi="Times New Roman" w:cstheme="minorBidi"/>
      <w:i/>
      <w:iCs/>
      <w:color w:val="365F91" w:themeColor="accent1" w:themeShade="BF"/>
      <w:sz w:val="24"/>
      <w:szCs w:val="24"/>
      <w:lang w:eastAsia="zh-CN"/>
    </w:rPr>
  </w:style>
  <w:style w:type="character" w:customStyle="1" w:styleId="IntenseQuoteChar">
    <w:name w:val="Intense Quote Char"/>
    <w:basedOn w:val="DefaultParagraphFont"/>
    <w:link w:val="IntenseQuote"/>
    <w:uiPriority w:val="30"/>
    <w:rsid w:val="0004402C"/>
    <w:rPr>
      <w:rFonts w:eastAsiaTheme="minorEastAsia" w:cstheme="minorBidi"/>
      <w:i/>
      <w:iCs/>
      <w:color w:val="365F91" w:themeColor="accent1" w:themeShade="BF"/>
      <w:sz w:val="24"/>
      <w:szCs w:val="24"/>
      <w:lang w:eastAsia="zh-CN"/>
    </w:rPr>
  </w:style>
  <w:style w:type="character" w:styleId="IntenseReference">
    <w:name w:val="Intense Reference"/>
    <w:basedOn w:val="DefaultParagraphFont"/>
    <w:uiPriority w:val="32"/>
    <w:qFormat/>
    <w:rsid w:val="0004402C"/>
    <w:rPr>
      <w:b/>
      <w:bCs/>
      <w:smallCaps/>
      <w:color w:val="365F91" w:themeColor="accent1" w:themeShade="BF"/>
      <w:spacing w:val="5"/>
    </w:rPr>
  </w:style>
  <w:style w:type="character" w:customStyle="1" w:styleId="HeaderChar">
    <w:name w:val="Header Char"/>
    <w:basedOn w:val="DefaultParagraphFont"/>
    <w:link w:val="Header"/>
    <w:uiPriority w:val="99"/>
    <w:rsid w:val="0004402C"/>
    <w:rPr>
      <w:rFonts w:ascii="Century Schoolbook" w:hAnsi="Century Schoolbook"/>
      <w:sz w:val="14"/>
    </w:rPr>
  </w:style>
  <w:style w:type="character" w:customStyle="1" w:styleId="FooterChar">
    <w:name w:val="Footer Char"/>
    <w:basedOn w:val="DefaultParagraphFont"/>
    <w:link w:val="Footer"/>
    <w:uiPriority w:val="99"/>
    <w:rsid w:val="0004402C"/>
    <w:rPr>
      <w:rFonts w:ascii="Century Schoolbook" w:hAnsi="Century Schoolbook"/>
      <w:sz w:val="21"/>
    </w:rPr>
  </w:style>
  <w:style w:type="character" w:styleId="UnresolvedMention">
    <w:name w:val="Unresolved Mention"/>
    <w:basedOn w:val="DefaultParagraphFont"/>
    <w:uiPriority w:val="99"/>
    <w:semiHidden/>
    <w:unhideWhenUsed/>
    <w:rsid w:val="0004402C"/>
    <w:rPr>
      <w:color w:val="605E5C"/>
      <w:shd w:val="clear" w:color="auto" w:fill="E1DFDD"/>
    </w:rPr>
  </w:style>
  <w:style w:type="character" w:styleId="FollowedHyperlink">
    <w:name w:val="FollowedHyperlink"/>
    <w:basedOn w:val="DefaultParagraphFont"/>
    <w:uiPriority w:val="99"/>
    <w:semiHidden/>
    <w:unhideWhenUsed/>
    <w:rsid w:val="0004402C"/>
    <w:rPr>
      <w:color w:val="800080" w:themeColor="followedHyperlink"/>
      <w:u w:val="single"/>
    </w:rPr>
  </w:style>
  <w:style w:type="character" w:styleId="CommentReference">
    <w:name w:val="annotation reference"/>
    <w:basedOn w:val="DefaultParagraphFont"/>
    <w:uiPriority w:val="99"/>
    <w:semiHidden/>
    <w:unhideWhenUsed/>
    <w:rsid w:val="0004402C"/>
    <w:rPr>
      <w:sz w:val="16"/>
      <w:szCs w:val="16"/>
    </w:rPr>
  </w:style>
  <w:style w:type="paragraph" w:styleId="CommentText">
    <w:name w:val="annotation text"/>
    <w:basedOn w:val="Normal"/>
    <w:link w:val="CommentTextChar"/>
    <w:uiPriority w:val="99"/>
    <w:unhideWhenUsed/>
    <w:rsid w:val="0004402C"/>
    <w:rPr>
      <w:rFonts w:ascii="Times New Roman" w:eastAsiaTheme="minorEastAsia" w:hAnsi="Times New Roman" w:cstheme="minorBidi"/>
      <w:sz w:val="20"/>
      <w:lang w:eastAsia="zh-CN"/>
    </w:rPr>
  </w:style>
  <w:style w:type="character" w:customStyle="1" w:styleId="CommentTextChar">
    <w:name w:val="Comment Text Char"/>
    <w:basedOn w:val="DefaultParagraphFont"/>
    <w:link w:val="CommentText"/>
    <w:uiPriority w:val="99"/>
    <w:rsid w:val="0004402C"/>
    <w:rPr>
      <w:rFonts w:eastAsiaTheme="minorEastAsia" w:cstheme="minorBidi"/>
      <w:lang w:eastAsia="zh-CN"/>
    </w:rPr>
  </w:style>
  <w:style w:type="paragraph" w:styleId="CommentSubject">
    <w:name w:val="annotation subject"/>
    <w:basedOn w:val="CommentText"/>
    <w:next w:val="CommentText"/>
    <w:link w:val="CommentSubjectChar"/>
    <w:uiPriority w:val="99"/>
    <w:semiHidden/>
    <w:unhideWhenUsed/>
    <w:rsid w:val="0004402C"/>
    <w:rPr>
      <w:b/>
      <w:bCs/>
    </w:rPr>
  </w:style>
  <w:style w:type="character" w:customStyle="1" w:styleId="CommentSubjectChar">
    <w:name w:val="Comment Subject Char"/>
    <w:basedOn w:val="CommentTextChar"/>
    <w:link w:val="CommentSubject"/>
    <w:uiPriority w:val="99"/>
    <w:semiHidden/>
    <w:rsid w:val="0004402C"/>
    <w:rPr>
      <w:rFonts w:eastAsiaTheme="minorEastAsia" w:cstheme="minorBidi"/>
      <w:b/>
      <w:bCs/>
      <w:lang w:eastAsia="zh-CN"/>
    </w:rPr>
  </w:style>
  <w:style w:type="paragraph" w:styleId="Revision">
    <w:name w:val="Revision"/>
    <w:hidden/>
    <w:uiPriority w:val="99"/>
    <w:semiHidden/>
    <w:rsid w:val="0004402C"/>
    <w:rPr>
      <w:rFonts w:eastAsiaTheme="minorEastAsia" w:cstheme="minorBidi"/>
      <w:sz w:val="24"/>
      <w:szCs w:val="24"/>
      <w:lang w:eastAsia="zh-CN"/>
    </w:rPr>
  </w:style>
  <w:style w:type="table" w:styleId="TableGrid">
    <w:name w:val="Table Grid"/>
    <w:basedOn w:val="TableNormal"/>
    <w:uiPriority w:val="59"/>
    <w:rsid w:val="00B965A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semiHidden/>
    <w:unhideWhenUsed/>
    <w:rsid w:val="00662C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6347">
      <w:bodyDiv w:val="1"/>
      <w:marLeft w:val="0"/>
      <w:marRight w:val="0"/>
      <w:marTop w:val="0"/>
      <w:marBottom w:val="0"/>
      <w:divBdr>
        <w:top w:val="none" w:sz="0" w:space="0" w:color="auto"/>
        <w:left w:val="none" w:sz="0" w:space="0" w:color="auto"/>
        <w:bottom w:val="none" w:sz="0" w:space="0" w:color="auto"/>
        <w:right w:val="none" w:sz="0" w:space="0" w:color="auto"/>
      </w:divBdr>
      <w:divsChild>
        <w:div w:id="960763175">
          <w:marLeft w:val="0"/>
          <w:marRight w:val="0"/>
          <w:marTop w:val="0"/>
          <w:marBottom w:val="0"/>
          <w:divBdr>
            <w:top w:val="none" w:sz="0" w:space="0" w:color="auto"/>
            <w:left w:val="none" w:sz="0" w:space="0" w:color="auto"/>
            <w:bottom w:val="none" w:sz="0" w:space="0" w:color="auto"/>
            <w:right w:val="none" w:sz="0" w:space="0" w:color="auto"/>
          </w:divBdr>
          <w:divsChild>
            <w:div w:id="227422356">
              <w:marLeft w:val="0"/>
              <w:marRight w:val="0"/>
              <w:marTop w:val="0"/>
              <w:marBottom w:val="0"/>
              <w:divBdr>
                <w:top w:val="none" w:sz="0" w:space="0" w:color="auto"/>
                <w:left w:val="none" w:sz="0" w:space="0" w:color="auto"/>
                <w:bottom w:val="none" w:sz="0" w:space="0" w:color="auto"/>
                <w:right w:val="none" w:sz="0" w:space="0" w:color="auto"/>
              </w:divBdr>
              <w:divsChild>
                <w:div w:id="97214991">
                  <w:marLeft w:val="0"/>
                  <w:marRight w:val="0"/>
                  <w:marTop w:val="0"/>
                  <w:marBottom w:val="0"/>
                  <w:divBdr>
                    <w:top w:val="none" w:sz="0" w:space="0" w:color="auto"/>
                    <w:left w:val="none" w:sz="0" w:space="0" w:color="auto"/>
                    <w:bottom w:val="none" w:sz="0" w:space="0" w:color="auto"/>
                    <w:right w:val="none" w:sz="0" w:space="0" w:color="auto"/>
                  </w:divBdr>
                  <w:divsChild>
                    <w:div w:id="1636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136794">
      <w:bodyDiv w:val="1"/>
      <w:marLeft w:val="0"/>
      <w:marRight w:val="0"/>
      <w:marTop w:val="0"/>
      <w:marBottom w:val="0"/>
      <w:divBdr>
        <w:top w:val="none" w:sz="0" w:space="0" w:color="auto"/>
        <w:left w:val="none" w:sz="0" w:space="0" w:color="auto"/>
        <w:bottom w:val="none" w:sz="0" w:space="0" w:color="auto"/>
        <w:right w:val="none" w:sz="0" w:space="0" w:color="auto"/>
      </w:divBdr>
    </w:div>
    <w:div w:id="973295678">
      <w:bodyDiv w:val="1"/>
      <w:marLeft w:val="0"/>
      <w:marRight w:val="0"/>
      <w:marTop w:val="0"/>
      <w:marBottom w:val="0"/>
      <w:divBdr>
        <w:top w:val="none" w:sz="0" w:space="0" w:color="auto"/>
        <w:left w:val="none" w:sz="0" w:space="0" w:color="auto"/>
        <w:bottom w:val="none" w:sz="0" w:space="0" w:color="auto"/>
        <w:right w:val="none" w:sz="0" w:space="0" w:color="auto"/>
      </w:divBdr>
      <w:divsChild>
        <w:div w:id="765539770">
          <w:marLeft w:val="0"/>
          <w:marRight w:val="0"/>
          <w:marTop w:val="0"/>
          <w:marBottom w:val="0"/>
          <w:divBdr>
            <w:top w:val="none" w:sz="0" w:space="0" w:color="auto"/>
            <w:left w:val="none" w:sz="0" w:space="0" w:color="auto"/>
            <w:bottom w:val="none" w:sz="0" w:space="0" w:color="auto"/>
            <w:right w:val="none" w:sz="0" w:space="0" w:color="auto"/>
          </w:divBdr>
          <w:divsChild>
            <w:div w:id="344940585">
              <w:marLeft w:val="0"/>
              <w:marRight w:val="0"/>
              <w:marTop w:val="0"/>
              <w:marBottom w:val="0"/>
              <w:divBdr>
                <w:top w:val="none" w:sz="0" w:space="0" w:color="auto"/>
                <w:left w:val="none" w:sz="0" w:space="0" w:color="auto"/>
                <w:bottom w:val="none" w:sz="0" w:space="0" w:color="auto"/>
                <w:right w:val="none" w:sz="0" w:space="0" w:color="auto"/>
              </w:divBdr>
              <w:divsChild>
                <w:div w:id="1083842789">
                  <w:marLeft w:val="0"/>
                  <w:marRight w:val="0"/>
                  <w:marTop w:val="0"/>
                  <w:marBottom w:val="0"/>
                  <w:divBdr>
                    <w:top w:val="none" w:sz="0" w:space="0" w:color="auto"/>
                    <w:left w:val="none" w:sz="0" w:space="0" w:color="auto"/>
                    <w:bottom w:val="none" w:sz="0" w:space="0" w:color="auto"/>
                    <w:right w:val="none" w:sz="0" w:space="0" w:color="auto"/>
                  </w:divBdr>
                  <w:divsChild>
                    <w:div w:id="15172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github.blog/news-insights/policy-news-and-insights/introducing-the-github-transparency-center" TargetMode="External"/><Relationship Id="rId3" Type="http://schemas.openxmlformats.org/officeDocument/2006/relationships/hyperlink" Target="https://www.theverge.com/2022/4/14/23025343/elon-musk-twitter-takeover-ted-talk-quote-stock-buyout" TargetMode="External"/><Relationship Id="rId7" Type="http://schemas.openxmlformats.org/officeDocument/2006/relationships/hyperlink" Target="http://www.linkedin.com" TargetMode="External"/><Relationship Id="rId2" Type="http://schemas.openxmlformats.org/officeDocument/2006/relationships/hyperlink" Target="https://www.oversightboard.com/decision/FB-691QAMHJ" TargetMode="External"/><Relationship Id="rId1" Type="http://schemas.openxmlformats.org/officeDocument/2006/relationships/hyperlink" Target="https://www.npr.org/2022/01/06/1070736018/jan-6-anniversary-investigation-cases-defendants-justice" TargetMode="External"/><Relationship Id="rId6" Type="http://schemas.openxmlformats.org/officeDocument/2006/relationships/hyperlink" Target="https://www.linkedin.com/company/github/people/?facetGeoRegion=101282230" TargetMode="External"/><Relationship Id="rId11" Type="http://schemas.openxmlformats.org/officeDocument/2006/relationships/hyperlink" Target="https://github.com/github/site-policy/commit/2ec42316e78240e3003f82047e8a5a45a7361cbe" TargetMode="External"/><Relationship Id="rId5" Type="http://schemas.openxmlformats.org/officeDocument/2006/relationships/hyperlink" Target="https://www.synopsys.com/software-integrity/engage/ossra/rep-ossra-2024-pdf" TargetMode="External"/><Relationship Id="rId10" Type="http://schemas.openxmlformats.org/officeDocument/2006/relationships/hyperlink" Target="https://www.ohchr.org/sites/default/files/Documents/Issues/Opinion/ContentRegulation/Github.pdf" TargetMode="External"/><Relationship Id="rId4" Type="http://schemas.openxmlformats.org/officeDocument/2006/relationships/hyperlink" Target="https://www.reuters.com/technology/taylor-swift-searches-blocked-x-after-fake-explicit-images-spread-2024-01-28/" TargetMode="External"/><Relationship Id="rId9" Type="http://schemas.openxmlformats.org/officeDocument/2006/relationships/hyperlink" Target="https://santaclaraprincip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B470556BDE34B8D7017602067DB25" ma:contentTypeVersion="20" ma:contentTypeDescription="Create a new document." ma:contentTypeScope="" ma:versionID="44da1faf9711f471fd2f58752c02ea84">
  <xsd:schema xmlns:xsd="http://www.w3.org/2001/XMLSchema" xmlns:xs="http://www.w3.org/2001/XMLSchema" xmlns:p="http://schemas.microsoft.com/office/2006/metadata/properties" xmlns:ns2="cdb76e1d-cde3-4eb3-947d-3a2c22b51edb" xmlns:ns3="38606998-273c-4854-82c8-05c749375a1b" xmlns:ns4="92c16b9d-8c83-445e-a4f4-1fe3d2f43f13" targetNamespace="http://schemas.microsoft.com/office/2006/metadata/properties" ma:root="true" ma:fieldsID="b155ec055d65a294e1d6e3809858467e" ns2:_="" ns3:_="" ns4:_="">
    <xsd:import namespace="cdb76e1d-cde3-4eb3-947d-3a2c22b51edb"/>
    <xsd:import namespace="38606998-273c-4854-82c8-05c749375a1b"/>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Comme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76e1d-cde3-4eb3-947d-3a2c22b51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06998-273c-4854-82c8-05c749375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f90045-5f39-4403-94a3-5955e34a727f}" ma:internalName="TaxCatchAll" ma:showField="CatchAllData" ma:web="38606998-273c-4854-82c8-05c749375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cdb76e1d-cde3-4eb3-947d-3a2c22b51edb">
      <Terms xmlns="http://schemas.microsoft.com/office/infopath/2007/PartnerControls"/>
    </lcf76f155ced4ddcb4097134ff3c332f>
    <Comments xmlns="cdb76e1d-cde3-4eb3-947d-3a2c22b51e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0C2E-BB35-4DCC-B3CE-EF1791FAC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76e1d-cde3-4eb3-947d-3a2c22b51edb"/>
    <ds:schemaRef ds:uri="38606998-273c-4854-82c8-05c749375a1b"/>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A01A1-F75A-4CCD-8B59-2E71A725CF56}">
  <ds:schemaRefs>
    <ds:schemaRef ds:uri="http://schemas.microsoft.com/office/2006/metadata/properties"/>
    <ds:schemaRef ds:uri="http://schemas.microsoft.com/office/infopath/2007/PartnerControls"/>
    <ds:schemaRef ds:uri="92c16b9d-8c83-445e-a4f4-1fe3d2f43f13"/>
    <ds:schemaRef ds:uri="cdb76e1d-cde3-4eb3-947d-3a2c22b51edb"/>
  </ds:schemaRefs>
</ds:datastoreItem>
</file>

<file path=customXml/itemProps3.xml><?xml version="1.0" encoding="utf-8"?>
<ds:datastoreItem xmlns:ds="http://schemas.openxmlformats.org/officeDocument/2006/customXml" ds:itemID="{F336400F-526A-4E29-9276-7F17619EA69E}">
  <ds:schemaRefs>
    <ds:schemaRef ds:uri="http://schemas.microsoft.com/sharepoint/v3/contenttype/forms"/>
  </ds:schemaRefs>
</ds:datastoreItem>
</file>

<file path=customXml/itemProps4.xml><?xml version="1.0" encoding="utf-8"?>
<ds:datastoreItem xmlns:ds="http://schemas.openxmlformats.org/officeDocument/2006/customXml" ds:itemID="{D3C6068C-235F-7D49-A4BB-0231A588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38</Pages>
  <Words>10720</Words>
  <Characters>61428</Characters>
  <Application>Microsoft Office Word</Application>
  <DocSecurity>0</DocSecurity>
  <Lines>1204</Lines>
  <Paragraphs>174</Paragraphs>
  <ScaleCrop>false</ScaleCrop>
  <HeadingPairs>
    <vt:vector size="2" baseType="variant">
      <vt:variant>
        <vt:lpstr>Title</vt:lpstr>
      </vt:variant>
      <vt:variant>
        <vt:i4>1</vt:i4>
      </vt:variant>
    </vt:vector>
  </HeadingPairs>
  <TitlesOfParts>
    <vt:vector size="1" baseType="lpstr">
      <vt:lpstr/>
    </vt:vector>
  </TitlesOfParts>
  <Manager/>
  <Company>Joe Christensen, Inc.</Company>
  <LinksUpToDate>false</LinksUpToDate>
  <CharactersWithSpaces>71974</CharactersWithSpaces>
  <SharedDoc>false</SharedDoc>
  <HyperlinkBase/>
  <HLinks>
    <vt:vector size="12" baseType="variant">
      <vt:variant>
        <vt:i4>7995442</vt:i4>
      </vt:variant>
      <vt:variant>
        <vt:i4>6</vt:i4>
      </vt:variant>
      <vt:variant>
        <vt:i4>0</vt:i4>
      </vt:variant>
      <vt:variant>
        <vt:i4>5</vt:i4>
      </vt:variant>
      <vt:variant>
        <vt:lpwstr>https://github.com/github/site-policy/commit/2ec42316e78240e3003f8</vt:lpwstr>
      </vt:variant>
      <vt:variant>
        <vt:lpwstr/>
      </vt:variant>
      <vt:variant>
        <vt:i4>4915286</vt:i4>
      </vt:variant>
      <vt:variant>
        <vt:i4>2</vt:i4>
      </vt:variant>
      <vt:variant>
        <vt:i4>0</vt:i4>
      </vt:variant>
      <vt:variant>
        <vt:i4>5</vt:i4>
      </vt:variant>
      <vt:variant>
        <vt:lpwstr>http://www.linkedin.com/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CTLJ</dc:creator>
  <cp:keywords/>
  <dc:description/>
  <cp:lastModifiedBy>Veronica Chapman</cp:lastModifiedBy>
  <cp:revision>1233</cp:revision>
  <cp:lastPrinted>2025-08-26T16:40:00Z</cp:lastPrinted>
  <dcterms:created xsi:type="dcterms:W3CDTF">2024-10-31T04:00:00Z</dcterms:created>
  <dcterms:modified xsi:type="dcterms:W3CDTF">2025-08-26T16:40:00Z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0x0101003A1B470556BDE34B8D7017602067DB25</vt:lpwstr>
  </property>
  <property fmtid="{D5CDD505-2E9C-101B-9397-08002B2CF9AE}" pid="3" name="MediaServiceImageTags">
    <vt:lpwstr/>
  </property>
  <property fmtid="{D5CDD505-2E9C-101B-9397-08002B2CF9AE}" pid="4" name="GrammarlyDocumentId">
    <vt:lpwstr>720e9ba9-c988-4b96-9aee-d686f22a2a34</vt:lpwstr>
  </property>
</Properties>
</file>